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color w:val="auto"/>
        </w:rPr>
        <w:t>Filed Pursuant to Rule 424(b)(3)</w:t>
      </w:r>
    </w:p>
    <w:p>
      <w:pPr>
        <w:spacing w:after="0" w:line="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Registration No. 333-296483</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156845</wp:posOffset>
            </wp:positionV>
            <wp:extent cx="258000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191135</wp:posOffset>
            </wp:positionV>
            <wp:extent cx="3566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$35,000,000 aggregate principal amount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7.25% Fixed-to-Floating Rate Subordinated Notes due 2036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that have been registered under the Securities Act of 1933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any and all outstanding unregistered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7.25% Fixed-to-Floating Rate Subordinated Notes due 2036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177165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exchange offer will expire at 11:59 p.m., New York City time, on July 23, 2026, unless extended.</w:t>
      </w:r>
    </w:p>
    <w:p>
      <w:pPr>
        <w:spacing w:after="0" w:line="225" w:lineRule="exact"/>
        <w:rPr>
          <w:sz w:val="24"/>
          <w:szCs w:val="24"/>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are offering to exchange 7.25% Fixed-to-Floating Rate Subordinated Notes due 2036 that have been registered under the Securities Act of 1933, as amended (the “Securities Act”), which we refer to in this prospectus as the “New Notes,” for any and all of our outstanding unregistered 7.25% Fixed-to-Floating Rate Subordinated Notes due 2036 that we issued in a private placement on March 12, 2026, which we refer to in this prospectus as the “Old Notes.” We are making this offer to exchange the Old Notes for the New Notes to satisfy our obligations under the registration rights agreements that we entered into with the purchasers of the Old Notes in connection with our issuance of the Old Notes to those purchasers.</w:t>
      </w:r>
    </w:p>
    <w:p>
      <w:pPr>
        <w:spacing w:after="0" w:line="183" w:lineRule="exact"/>
        <w:rPr>
          <w:sz w:val="24"/>
          <w:szCs w:val="24"/>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will not receive any cash proceeds from this exchange offer. The issuance of the New Notes in exchange for the Old Notes will not result in any increase in our outstanding indebtedness. Old Notes that are not exchanged for New Notes in this exchange offer will remain outstanding. The exchange offer is not subject to any minimum tender condition but is subject to certain customary conditions.</w:t>
      </w:r>
    </w:p>
    <w:p>
      <w:pPr>
        <w:spacing w:after="0" w:line="176" w:lineRule="exact"/>
        <w:rPr>
          <w:sz w:val="24"/>
          <w:szCs w:val="24"/>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Upon expiration of the exchange offer, all Old Notes that have been validly tendered and not withdrawn will be exchanged for an equal principal amount of New Notes. The terms of the New Notes are identical in all material respects to the terms of the Old Notes, except that the New Notes are registered under the Securities Act and are generally not subject to transfer restrictions, are not entitled to registration rights under the registration rights agreements that we entered into with the initial purchasers of the Old Notes and do not have the right to additional interest under the circumstances described in the registration rights agreements relating to our fulfillment of our registration obligations. The New Notes evidence the same debt as the Old Notes and are governed by the same indenture under which the Old Notes were issued.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 w:name="page2"/>
    <w:bookmarkEnd w:id="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existing public market for the Old Notes or the New Notes and we do not expect any public market to develop in the future for either the Old Notes or the New Notes. The Old Notes are not listed on any national securities exchange or quotation system and we do not intend to list the New Notes on any national securities exchange or quotation system.</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You may withdraw your tender of Old Notes at any time prior to 5:00 p.m., New York City time, on the expiration of the exchange offer. We will exchange all of the outstanding Old Notes that are validly tendered and not validly withdrawn prior to the expiration of the exchange offer for an equal principal amount of New Notes.</w:t>
      </w:r>
    </w:p>
    <w:p>
      <w:pPr>
        <w:spacing w:after="0" w:line="176"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Each broker-dealer that receives New Notes for its own account pursuant to the exchange offer must acknowledge that it will deliver a prospectus meeting the requirements of the Securities Act in connection with any resale of such New Notes. A broker-dealer that acquired Old Notes because of market-making or other trading activities may use this prospectus, as supplemented or amended from time to time, in connection with resales of the New Notes for a period of 180 days after the completion of the exchange offer. See the section entitled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beginning on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both"/>
        <w:ind w:right="60" w:firstLine="648"/>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Investing in our securities involves certain risks. See the section entitled “Risk Factors” beginning on page 13, as well as the risk factors contained in our </w:t>
      </w:r>
      <w:hyperlink r:id="rId13">
        <w:r>
          <w:rPr>
            <w:rFonts w:ascii="Times New Roman" w:cs="Times New Roman" w:eastAsia="Times New Roman" w:hAnsi="Times New Roman"/>
            <w:sz w:val="18"/>
            <w:szCs w:val="18"/>
            <w:b w:val="1"/>
            <w:bCs w:val="1"/>
            <w:u w:val="single" w:color="auto"/>
            <w:color w:val="0000EE"/>
          </w:rPr>
          <w:t>Annual Report on Form 10-K for the year ended December 31, 2025</w:t>
        </w:r>
      </w:hyperlink>
      <w:r>
        <w:rPr>
          <w:rFonts w:ascii="Times New Roman" w:cs="Times New Roman" w:eastAsia="Times New Roman" w:hAnsi="Times New Roman"/>
          <w:sz w:val="18"/>
          <w:szCs w:val="18"/>
          <w:b w:val="1"/>
          <w:bCs w:val="1"/>
          <w:color w:val="auto"/>
        </w:rPr>
        <w:t>, and in the other reports filed by us with the Securities and Exchange Commission and incorporated by reference into this prospectus.</w:t>
      </w:r>
    </w:p>
    <w:p>
      <w:pPr>
        <w:spacing w:after="0" w:line="17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regulatory body has approved or disapproved of these securities or passed upon the adequacy or accuracy of the disclosure in this prospectus. Any representation to the contrary is a criminal offense.</w:t>
      </w:r>
    </w:p>
    <w:p>
      <w:pPr>
        <w:spacing w:after="0" w:line="171"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securities to be exchanged are not savings accounts, deposits or obligations of any bank and are not insured by the Federal Deposit Insurance Corporation or any other governmental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146685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30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32"/>
        </w:trPr>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3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76"/>
        </w:trPr>
        <w:tc>
          <w:tcPr>
            <w:tcW w:w="2240" w:type="dxa"/>
            <w:vAlign w:val="bottom"/>
            <w:gridSpan w:val="8"/>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7880" w:type="dxa"/>
            <w:vAlign w:val="bottom"/>
            <w:gridSpan w:val="6"/>
            <w:shd w:val="clear" w:color="auto" w:fill="CCEEFF"/>
          </w:tcPr>
          <w:p>
            <w:pPr>
              <w:spacing w:after="0"/>
              <w:rPr>
                <w:sz w:val="15"/>
                <w:szCs w:val="15"/>
                <w:color w:val="auto"/>
              </w:rPr>
            </w:pPr>
          </w:p>
        </w:tc>
        <w:tc>
          <w:tcPr>
            <w:tcW w:w="640" w:type="dxa"/>
            <w:vAlign w:val="bottom"/>
            <w:gridSpan w:val="4"/>
            <w:shd w:val="clear" w:color="auto" w:fill="CCEEFF"/>
          </w:tcPr>
          <w:p>
            <w:pPr>
              <w:jc w:val="center"/>
              <w:ind w:left="391"/>
              <w:spacing w:after="0" w:line="142" w:lineRule="exact"/>
              <w:rPr>
                <w:sz w:val="20"/>
                <w:szCs w:val="20"/>
                <w:color w:val="auto"/>
              </w:rPr>
            </w:pPr>
            <w:r>
              <w:rPr>
                <w:rFonts w:ascii="Times New Roman" w:cs="Times New Roman" w:eastAsia="Times New Roman" w:hAnsi="Times New Roman"/>
                <w:sz w:val="16"/>
                <w:szCs w:val="16"/>
                <w:color w:val="0000EE"/>
                <w:w w:val="99"/>
              </w:rPr>
              <w:t>1</w:t>
            </w:r>
          </w:p>
        </w:tc>
        <w:tc>
          <w:tcPr>
            <w:tcW w:w="48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69"/>
        </w:trPr>
        <w:tc>
          <w:tcPr>
            <w:tcW w:w="10120" w:type="dxa"/>
            <w:vAlign w:val="bottom"/>
            <w:gridSpan w:val="14"/>
          </w:tcPr>
          <w:p>
            <w:pPr>
              <w:spacing w:after="0" w:line="170"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gridSpan w:val="4"/>
          </w:tcPr>
          <w:p>
            <w:pPr>
              <w:jc w:val="center"/>
              <w:ind w:left="391"/>
              <w:spacing w:after="0" w:line="170" w:lineRule="exact"/>
              <w:rPr>
                <w:sz w:val="20"/>
                <w:szCs w:val="20"/>
                <w:color w:val="auto"/>
              </w:rPr>
            </w:pPr>
            <w:r>
              <w:rPr>
                <w:rFonts w:ascii="Times New Roman" w:cs="Times New Roman" w:eastAsia="Times New Roman" w:hAnsi="Times New Roman"/>
                <w:sz w:val="18"/>
                <w:szCs w:val="18"/>
                <w:color w:val="0000EE"/>
                <w:w w:val="88"/>
              </w:rPr>
              <w:t>2</w:t>
            </w:r>
          </w:p>
        </w:tc>
        <w:tc>
          <w:tcPr>
            <w:tcW w:w="480" w:type="dxa"/>
            <w:vAlign w:val="bottom"/>
          </w:tcPr>
          <w:p>
            <w:pPr>
              <w:spacing w:after="0"/>
              <w:rPr>
                <w:sz w:val="14"/>
                <w:szCs w:val="14"/>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101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gridSpan w:val="4"/>
            <w:shd w:val="clear" w:color="auto" w:fill="CCEEFF"/>
          </w:tcPr>
          <w:p>
            <w:pPr>
              <w:jc w:val="center"/>
              <w:ind w:left="391"/>
              <w:spacing w:after="0" w:line="176" w:lineRule="exact"/>
              <w:rPr>
                <w:sz w:val="20"/>
                <w:szCs w:val="20"/>
                <w:color w:val="auto"/>
              </w:rPr>
            </w:pPr>
            <w:r>
              <w:rPr>
                <w:rFonts w:ascii="Times New Roman" w:cs="Times New Roman" w:eastAsia="Times New Roman" w:hAnsi="Times New Roman"/>
                <w:sz w:val="18"/>
                <w:szCs w:val="18"/>
                <w:color w:val="0000EE"/>
                <w:w w:val="88"/>
              </w:rPr>
              <w:t>3</w:t>
            </w:r>
          </w:p>
        </w:tc>
        <w:tc>
          <w:tcPr>
            <w:tcW w:w="48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40" w:type="dxa"/>
            <w:vAlign w:val="bottom"/>
            <w:gridSpan w:val="4"/>
          </w:tcPr>
          <w:p>
            <w:pPr>
              <w:jc w:val="center"/>
              <w:ind w:left="391"/>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48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101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640" w:type="dxa"/>
            <w:vAlign w:val="bottom"/>
            <w:gridSpan w:val="4"/>
            <w:shd w:val="clear" w:color="auto" w:fill="CCEEFF"/>
          </w:tcPr>
          <w:p>
            <w:pPr>
              <w:jc w:val="center"/>
              <w:ind w:left="391"/>
              <w:spacing w:after="0" w:line="176" w:lineRule="exact"/>
              <w:rPr>
                <w:sz w:val="20"/>
                <w:szCs w:val="20"/>
                <w:color w:val="auto"/>
              </w:rPr>
            </w:pPr>
            <w:r>
              <w:rPr>
                <w:rFonts w:ascii="Times New Roman" w:cs="Times New Roman" w:eastAsia="Times New Roman" w:hAnsi="Times New Roman"/>
                <w:sz w:val="18"/>
                <w:szCs w:val="18"/>
                <w:color w:val="0000EE"/>
                <w:w w:val="88"/>
              </w:rPr>
              <w:t>6</w:t>
            </w:r>
          </w:p>
        </w:tc>
        <w:tc>
          <w:tcPr>
            <w:tcW w:w="48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gridSpan w:val="4"/>
          </w:tcPr>
          <w:p>
            <w:pPr>
              <w:jc w:val="center"/>
              <w:ind w:left="371"/>
              <w:spacing w:after="0" w:line="176" w:lineRule="exact"/>
              <w:rPr>
                <w:sz w:val="20"/>
                <w:szCs w:val="20"/>
                <w:color w:val="auto"/>
              </w:rPr>
            </w:pPr>
            <w:r>
              <w:rPr>
                <w:rFonts w:ascii="Times New Roman" w:cs="Times New Roman" w:eastAsia="Times New Roman" w:hAnsi="Times New Roman"/>
                <w:sz w:val="18"/>
                <w:szCs w:val="18"/>
                <w:color w:val="0000EE"/>
                <w:w w:val="99"/>
              </w:rPr>
              <w:t>13</w:t>
            </w:r>
          </w:p>
        </w:tc>
        <w:tc>
          <w:tcPr>
            <w:tcW w:w="48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101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gridSpan w:val="4"/>
            <w:shd w:val="clear" w:color="auto" w:fill="CCEEFF"/>
          </w:tcPr>
          <w:p>
            <w:pPr>
              <w:jc w:val="center"/>
              <w:ind w:left="371"/>
              <w:spacing w:after="0" w:line="176" w:lineRule="exact"/>
              <w:rPr>
                <w:sz w:val="20"/>
                <w:szCs w:val="20"/>
                <w:color w:val="auto"/>
              </w:rPr>
            </w:pPr>
            <w:r>
              <w:rPr>
                <w:rFonts w:ascii="Times New Roman" w:cs="Times New Roman" w:eastAsia="Times New Roman" w:hAnsi="Times New Roman"/>
                <w:sz w:val="18"/>
                <w:szCs w:val="18"/>
                <w:color w:val="0000EE"/>
                <w:w w:val="99"/>
              </w:rPr>
              <w:t>20</w:t>
            </w:r>
          </w:p>
        </w:tc>
        <w:tc>
          <w:tcPr>
            <w:tcW w:w="48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THE EXCHANGE OFFER</w:t>
            </w:r>
          </w:p>
        </w:tc>
        <w:tc>
          <w:tcPr>
            <w:tcW w:w="640" w:type="dxa"/>
            <w:vAlign w:val="bottom"/>
            <w:gridSpan w:val="4"/>
          </w:tcPr>
          <w:p>
            <w:pPr>
              <w:jc w:val="center"/>
              <w:ind w:left="371"/>
              <w:spacing w:after="0" w:line="176" w:lineRule="exact"/>
              <w:rPr>
                <w:sz w:val="20"/>
                <w:szCs w:val="20"/>
                <w:color w:val="auto"/>
              </w:rPr>
            </w:pPr>
            <w:r>
              <w:rPr>
                <w:rFonts w:ascii="Times New Roman" w:cs="Times New Roman" w:eastAsia="Times New Roman" w:hAnsi="Times New Roman"/>
                <w:sz w:val="18"/>
                <w:szCs w:val="18"/>
                <w:color w:val="0000EE"/>
                <w:w w:val="99"/>
              </w:rPr>
              <w:t>21</w:t>
            </w:r>
          </w:p>
        </w:tc>
        <w:tc>
          <w:tcPr>
            <w:tcW w:w="48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THE NOTES</w:t>
            </w:r>
          </w:p>
        </w:tc>
        <w:tc>
          <w:tcPr>
            <w:tcW w:w="7640" w:type="dxa"/>
            <w:vAlign w:val="bottom"/>
            <w:tcBorders>
              <w:bottom w:val="single" w:sz="8" w:color="CCEEFF"/>
            </w:tcBorders>
            <w:gridSpan w:val="5"/>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31</w:t>
            </w:r>
          </w:p>
        </w:tc>
        <w:tc>
          <w:tcPr>
            <w:tcW w:w="480" w:type="dxa"/>
            <w:vAlign w:val="bottom"/>
            <w:tcBorders>
              <w:bottom w:val="single" w:sz="8" w:color="CCEEFF"/>
            </w:tcBorders>
            <w:shd w:val="clear" w:color="auto" w:fill="CCEEFF"/>
          </w:tcPr>
          <w:p>
            <w:pPr>
              <w:spacing w:after="0"/>
              <w:rPr>
                <w:sz w:val="17"/>
                <w:szCs w:val="17"/>
                <w:color w:val="auto"/>
              </w:rPr>
            </w:pPr>
          </w:p>
        </w:tc>
      </w:tr>
      <w:tr>
        <w:trPr>
          <w:trHeight w:val="176"/>
        </w:trPr>
        <w:tc>
          <w:tcPr>
            <w:tcW w:w="101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CERTAIN UNITED STATES FEDERAL INCOME TAX CONSIDERATIONS</w:t>
            </w:r>
          </w:p>
        </w:tc>
        <w:tc>
          <w:tcPr>
            <w:tcW w:w="640" w:type="dxa"/>
            <w:vAlign w:val="bottom"/>
            <w:gridSpan w:val="4"/>
          </w:tcPr>
          <w:p>
            <w:pPr>
              <w:jc w:val="center"/>
              <w:ind w:left="371"/>
              <w:spacing w:after="0" w:line="176" w:lineRule="exact"/>
              <w:rPr>
                <w:sz w:val="20"/>
                <w:szCs w:val="20"/>
                <w:color w:val="auto"/>
              </w:rPr>
            </w:pPr>
            <w:r>
              <w:rPr>
                <w:rFonts w:ascii="Times New Roman" w:cs="Times New Roman" w:eastAsia="Times New Roman" w:hAnsi="Times New Roman"/>
                <w:sz w:val="18"/>
                <w:szCs w:val="18"/>
                <w:color w:val="0000EE"/>
                <w:w w:val="99"/>
              </w:rPr>
              <w:t>47</w:t>
            </w:r>
          </w:p>
        </w:tc>
        <w:tc>
          <w:tcPr>
            <w:tcW w:w="48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060" w:type="dxa"/>
            <w:vAlign w:val="bottom"/>
            <w:tcBorders>
              <w:bottom w:val="single" w:sz="8" w:color="CCEEFF"/>
            </w:tcBorders>
            <w:gridSpan w:val="7"/>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48</w:t>
            </w:r>
          </w:p>
        </w:tc>
        <w:tc>
          <w:tcPr>
            <w:tcW w:w="480" w:type="dxa"/>
            <w:vAlign w:val="bottom"/>
            <w:tcBorders>
              <w:bottom w:val="single" w:sz="8" w:color="CCEEFF"/>
            </w:tcBorders>
            <w:shd w:val="clear" w:color="auto" w:fill="CCEEFF"/>
          </w:tcPr>
          <w:p>
            <w:pPr>
              <w:spacing w:after="0"/>
              <w:rPr>
                <w:sz w:val="17"/>
                <w:szCs w:val="17"/>
                <w:color w:val="auto"/>
              </w:rPr>
            </w:pPr>
          </w:p>
        </w:tc>
      </w:tr>
      <w:tr>
        <w:trPr>
          <w:trHeight w:val="175"/>
        </w:trPr>
        <w:tc>
          <w:tcPr>
            <w:tcW w:w="101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gridSpan w:val="4"/>
          </w:tcPr>
          <w:p>
            <w:pPr>
              <w:jc w:val="center"/>
              <w:ind w:left="371"/>
              <w:spacing w:after="0" w:line="176" w:lineRule="exact"/>
              <w:rPr>
                <w:sz w:val="20"/>
                <w:szCs w:val="20"/>
                <w:color w:val="auto"/>
              </w:rPr>
            </w:pPr>
            <w:r>
              <w:rPr>
                <w:rFonts w:ascii="Times New Roman" w:cs="Times New Roman" w:eastAsia="Times New Roman" w:hAnsi="Times New Roman"/>
                <w:sz w:val="18"/>
                <w:szCs w:val="18"/>
                <w:color w:val="0000EE"/>
                <w:w w:val="99"/>
              </w:rPr>
              <w:t>49</w:t>
            </w:r>
          </w:p>
        </w:tc>
        <w:tc>
          <w:tcPr>
            <w:tcW w:w="48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1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40" w:type="dxa"/>
            <w:vAlign w:val="bottom"/>
            <w:gridSpan w:val="4"/>
            <w:shd w:val="clear" w:color="auto" w:fill="CCEEFF"/>
          </w:tcPr>
          <w:p>
            <w:pPr>
              <w:jc w:val="center"/>
              <w:ind w:left="371"/>
              <w:spacing w:after="0" w:line="176" w:lineRule="exact"/>
              <w:rPr>
                <w:sz w:val="20"/>
                <w:szCs w:val="20"/>
                <w:color w:val="auto"/>
              </w:rPr>
            </w:pPr>
            <w:r>
              <w:rPr>
                <w:rFonts w:ascii="Times New Roman" w:cs="Times New Roman" w:eastAsia="Times New Roman" w:hAnsi="Times New Roman"/>
                <w:sz w:val="18"/>
                <w:szCs w:val="18"/>
                <w:color w:val="0000EE"/>
                <w:w w:val="99"/>
              </w:rPr>
              <w:t>49</w:t>
            </w:r>
          </w:p>
        </w:tc>
        <w:tc>
          <w:tcPr>
            <w:tcW w:w="480" w:type="dxa"/>
            <w:vAlign w:val="bottom"/>
            <w:shd w:val="clear" w:color="auto" w:fill="CCEEFF"/>
          </w:tcPr>
          <w:p>
            <w:pPr>
              <w:spacing w:after="0"/>
              <w:rPr>
                <w:sz w:val="17"/>
                <w:szCs w:val="17"/>
                <w:color w:val="auto"/>
              </w:rPr>
            </w:pPr>
          </w:p>
        </w:tc>
      </w:tr>
      <w:tr>
        <w:trPr>
          <w:trHeight w:val="675"/>
        </w:trPr>
        <w:tc>
          <w:tcPr>
            <w:tcW w:w="7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34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32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have filed with the U.S. Securities and Exchange Commission (the “SEC”) under the Securities Act. This prospectus does not contain all the information set forth in the registration statement, certain parts of which are omitted in accordance with the rules and regulations of the SEC. For further information with respect to us, the exchange offer and the securities offered by this prospectus, reference is made to the registration statement, including the exhibits to the registration statement and the documents incorporated by reference.</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are providing this prospectus to holders of Old Notes in connection with our offer to exchange Old Notes for New Notes. We are not making this exchange offer in any jurisdiction where the exchange offer is not permitted. You should rely only on the information contained or incorporated by reference in this prospectus and in the accompanying exchange offer transmittal documents filed by us with the SEC. We have not authorized any other person to provide you with any other information. We take no responsibility for, and provide no assurance as to the reliability of, any other information that others may give you. You should not assume that the information contained or incorporated by reference in this prospectus is accurate as of any date other than the date of the applicable document that contains that information. Our business, financial condition, results of operations and prospects may have changed since that date.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to be investment, legal or tax advice. You should consult your own counsel, accountant and other advisors for legal, tax, business, financial and related advice regarding the exchange offer and ownership of these securities.</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Each broker-dealer that receives New Notes for its own account in exchange for Old Notes acquired by the broker-dealer as a result of market-making or other trading activities must acknowledge that it will deliver a prospectus meeting the requirements of the Securities Act in connection with any resale of such New Notes. This prospectus, as it may be amended or supplemented from time to time, may be used by a participating broker-dealer in connection with resales of New Notes received in exchange for Old Notes. We have agreed in the letter of transmittal to make this prospectus, as amended or supplemented, available to any such broker-dealer that requests copies of this prospectus for use in connection with any such resale.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xml:space="preserve"> beginning on page 48.</w:t>
      </w:r>
    </w:p>
    <w:p>
      <w:pPr>
        <w:spacing w:after="0" w:line="18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References in this prospectus to “we,” “us,” “our,” “Hanover Bancorp” or the “Company” refer to Hanover Bancorp, Inc. and its subsidiaries, unless the context otherwise requires. References in this prospectus to the “Bank” refer to Hanover Community Bank, a New York chartered commercial bank and wholly-owned subsidiary of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(the “Exchange Act”), and therefore we file annual, quarterly and current reports, proxy statements, and other documents with the SEC. The SEC maintains a website at https://www.sec.gov that contains reports, proxies, information statements, and other information regarding registrants, including us, that file electronically with the SEC. We also maintain a website at https://www.hanoverbank.com; however, the information contained on our website does not constitute part of this prospectus.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S-4 relating to the New Notes and the exchange offer. This prospectus is a part of the registration statement and, as permitted by SEC rules, does not contain all of the information in the registration statement. The registration statement, including the exhibits thereto, contains additional relevant information about us, the New Notes and the exchange offer.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the information in other documents that we file with it, which means that we can disclose important information to you by referring you to those documents. The information incorporated by reference is considered to be part of this prospectus, and information that we file later with the SEC that is incorporated by reference in this prospectus will automatically update and supersede information contained in documents filed earlier with the SEC or contained in this prospectus. We incorporate by reference the following documents we have filed with the SEC and the future filings we make with the SEC under Section 13(a), 13(c), 14, or 15(d) of the Exchange Act, after the date of this prospectus until the date we complete the exchange offer (in each case excluding any information furnished and not filed according to SEC rules, such as information furnished pursuant to Item 2.02 or Item 7.01 on any Current Report on Form 8-K):</w:t>
      </w:r>
    </w:p>
    <w:p>
      <w:pPr>
        <w:spacing w:after="0" w:line="189" w:lineRule="exact"/>
        <w:rPr>
          <w:sz w:val="20"/>
          <w:szCs w:val="20"/>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Our Annual Report on Form 10-K for the year ended December 31, 2025;</w:t>
        </w:r>
      </w:hyperlink>
    </w:p>
    <w:p>
      <w:pPr>
        <w:spacing w:after="0" w:line="224" w:lineRule="exact"/>
        <w:rPr>
          <w:rFonts w:ascii="Times New Roman" w:cs="Times New Roman" w:eastAsia="Times New Roman" w:hAnsi="Times New Roman"/>
          <w:sz w:val="18"/>
          <w:szCs w:val="18"/>
          <w:u w:val="single" w:color="auto"/>
          <w:color w:val="0000EE"/>
        </w:rPr>
      </w:pPr>
    </w:p>
    <w:p>
      <w:pPr>
        <w:ind w:left="1300" w:hanging="644"/>
        <w:spacing w:after="0"/>
        <w:tabs>
          <w:tab w:leader="none" w:pos="1300" w:val="left"/>
        </w:tabs>
        <w:numPr>
          <w:ilvl w:val="0"/>
          <w:numId w:val="1"/>
        </w:numPr>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Our Quarterly Report on Form 10-Q for the quarter ended March 31, 2026;</w:t>
        </w:r>
      </w:hyperlink>
    </w:p>
    <w:p>
      <w:pPr>
        <w:spacing w:after="0" w:line="224" w:lineRule="exact"/>
        <w:rPr>
          <w:rFonts w:ascii="Times New Roman" w:cs="Times New Roman" w:eastAsia="Times New Roman" w:hAnsi="Times New Roman"/>
          <w:sz w:val="18"/>
          <w:szCs w:val="18"/>
          <w:u w:val="single" w:color="auto"/>
          <w:color w:val="0000EE"/>
        </w:rPr>
      </w:pPr>
    </w:p>
    <w:p>
      <w:pPr>
        <w:ind w:left="1300" w:right="300" w:hanging="644"/>
        <w:spacing w:after="0" w:line="281" w:lineRule="auto"/>
        <w:tabs>
          <w:tab w:leader="none" w:pos="130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portions of our </w:t>
      </w:r>
      <w:hyperlink r:id="rId19">
        <w:r>
          <w:rPr>
            <w:rFonts w:ascii="Times New Roman" w:cs="Times New Roman" w:eastAsia="Times New Roman" w:hAnsi="Times New Roman"/>
            <w:sz w:val="18"/>
            <w:szCs w:val="18"/>
            <w:u w:val="single" w:color="auto"/>
            <w:color w:val="0000EE"/>
          </w:rPr>
          <w:t>Definitive Proxy Statement on Schedule 14A, filed on April 23, 2026</w:t>
        </w:r>
      </w:hyperlink>
      <w:r>
        <w:rPr>
          <w:rFonts w:ascii="Times New Roman" w:cs="Times New Roman" w:eastAsia="Times New Roman" w:hAnsi="Times New Roman"/>
          <w:sz w:val="18"/>
          <w:szCs w:val="18"/>
          <w:color w:val="auto"/>
        </w:rPr>
        <w:t xml:space="preserve">, that are incorporated by reference into our </w:t>
      </w:r>
      <w:hyperlink r:id="rId13">
        <w:r>
          <w:rPr>
            <w:rFonts w:ascii="Times New Roman" w:cs="Times New Roman" w:eastAsia="Times New Roman" w:hAnsi="Times New Roman"/>
            <w:sz w:val="18"/>
            <w:szCs w:val="18"/>
            <w:u w:val="single" w:color="auto"/>
            <w:color w:val="0000EE"/>
          </w:rPr>
          <w:t>Annual Report on Form 10-K for the year ended December 31,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62" w:lineRule="exact"/>
        <w:rPr>
          <w:rFonts w:ascii="Times New Roman" w:cs="Times New Roman" w:eastAsia="Times New Roman" w:hAnsi="Times New Roman"/>
          <w:sz w:val="18"/>
          <w:szCs w:val="18"/>
          <w:color w:val="0000EE"/>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20">
        <w:r>
          <w:rPr>
            <w:rFonts w:ascii="Times New Roman" w:cs="Times New Roman" w:eastAsia="Times New Roman" w:hAnsi="Times New Roman"/>
            <w:sz w:val="18"/>
            <w:szCs w:val="18"/>
            <w:u w:val="single" w:color="auto"/>
            <w:color w:val="0000EE"/>
          </w:rPr>
          <w:t>February 19, 2026</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March 12,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2">
        <w:r>
          <w:rPr>
            <w:rFonts w:ascii="Times New Roman" w:cs="Times New Roman" w:eastAsia="Times New Roman" w:hAnsi="Times New Roman"/>
            <w:sz w:val="18"/>
            <w:szCs w:val="18"/>
            <w:u w:val="single" w:color="auto"/>
            <w:color w:val="0000EE"/>
          </w:rPr>
          <w:t>June 1, 2026</w:t>
        </w:r>
      </w:hyperlink>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Holders of the Old Notes may request a copy of these filings, at no cost, by contacting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Hanover Bancorp, Inc.</w:t>
      </w:r>
    </w:p>
    <w:p>
      <w:pPr>
        <w:spacing w:after="0" w:line="27"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 East Jericho Turnpike</w:t>
      </w:r>
    </w:p>
    <w:p>
      <w:pPr>
        <w:spacing w:after="0" w:line="9"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Mineola, New York 11501</w:t>
      </w:r>
    </w:p>
    <w:p>
      <w:pPr>
        <w:spacing w:after="0" w:line="9"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Telephone: (516) 548-8500</w:t>
      </w:r>
    </w:p>
    <w:p>
      <w:pPr>
        <w:spacing w:after="0" w:line="203" w:lineRule="exact"/>
        <w:rPr>
          <w:rFonts w:ascii="Times New Roman" w:cs="Times New Roman" w:eastAsia="Times New Roman" w:hAnsi="Times New Roman"/>
          <w:sz w:val="18"/>
          <w:szCs w:val="18"/>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To ensure timely delivery of any requested information, holders of the Old Notes must make any request no later than July 16, 2026, which is five (5) business days before the expiration date of the exchange offer, or, if we decide to extend the expiration date of the exchange offer, no later than five (5) business days before such extended expiration date.</w:t>
      </w:r>
    </w:p>
    <w:p>
      <w:pPr>
        <w:spacing w:after="0" w:line="391"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herein,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expected operating results and the assumptions upon which those statements are based. In some cases, you can identify these forward-looking statements by words like “may,” “will,” “should,” “expect,” “plan,” “anticipate,” “intend,” “believe,” “estimate,” “predict,” “potential,” or “continue” or the negative of those words and other comparable terminology, although not all forward-looking statements contain these words. Forward-looking statements are not a guarantee of future performance or results, and will not necessarily be accurate indications of the times at, or by, which such performance or results will be achieved. We caution that the forward-looking statements are based largely on our expectations and information available at the time the statements are made and are subject to a number of known and unknown risks and uncertainties that are subject to change based on factors which are in many instances, beyond our control. Actual results, performance or achievements could differ materially from those contemplated, expressed, or implied by the forward-looking statements. You should bear this in mind when reading this prospectus and not place undue reliance on these forward-looking statements.</w:t>
      </w:r>
    </w:p>
    <w:p>
      <w:pPr>
        <w:spacing w:after="0" w:line="192" w:lineRule="exact"/>
        <w:rPr>
          <w:sz w:val="20"/>
          <w:szCs w:val="20"/>
          <w:color w:val="auto"/>
        </w:rPr>
      </w:pPr>
    </w:p>
    <w:p>
      <w:pPr>
        <w:ind w:right="20" w:firstLine="648"/>
        <w:spacing w:after="0" w:line="25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 number of factors could cause actual conditions, events, or results to differ significantly from those described in the forward-looking statements. These factors include, but are not limited to, those contained in our </w:t>
      </w:r>
      <w:hyperlink r:id="rId13">
        <w:r>
          <w:rPr>
            <w:rFonts w:ascii="Times New Roman" w:cs="Times New Roman" w:eastAsia="Times New Roman" w:hAnsi="Times New Roman"/>
            <w:sz w:val="18"/>
            <w:szCs w:val="18"/>
            <w:u w:val="single" w:color="auto"/>
            <w:color w:val="0000EE"/>
          </w:rPr>
          <w:t>Annual Report on Form 10-K for the year ended December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in our </w:t>
      </w:r>
      <w:hyperlink r:id="rId18">
        <w:r>
          <w:rPr>
            <w:rFonts w:ascii="Times New Roman" w:cs="Times New Roman" w:eastAsia="Times New Roman" w:hAnsi="Times New Roman"/>
            <w:sz w:val="18"/>
            <w:szCs w:val="18"/>
            <w:u w:val="single" w:color="auto"/>
            <w:color w:val="0000EE"/>
          </w:rPr>
          <w:t>Quarterly Report on Form 10-Q for the quarter ended March 31,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are incorporated by reference in this prospectus, including those discussed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under the sections entitled </w:t>
      </w:r>
      <w:r>
        <w:rPr>
          <w:rFonts w:ascii="Times New Roman" w:cs="Times New Roman" w:eastAsia="Times New Roman" w:hAnsi="Times New Roman"/>
          <w:sz w:val="18"/>
          <w:szCs w:val="18"/>
          <w:i w:val="1"/>
          <w:iCs w:val="1"/>
          <w:color w:val="000000"/>
        </w:rPr>
        <w:t>“Risk Factors”</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i w:val="1"/>
          <w:iCs w:val="1"/>
          <w:color w:val="000000"/>
        </w:rPr>
        <w:t>“Management’s Discussion and Analysis of Financial Condition and Results of Operations,”</w:t>
      </w:r>
      <w:r>
        <w:rPr>
          <w:rFonts w:ascii="Times New Roman" w:cs="Times New Roman" w:eastAsia="Times New Roman" w:hAnsi="Times New Roman"/>
          <w:sz w:val="18"/>
          <w:szCs w:val="18"/>
          <w:color w:val="000000"/>
        </w:rPr>
        <w:t xml:space="preserve"> as well as those discussed in any subsequent filings of the Company that are incorporated in this prospectus by reference. See the sections entitled </w:t>
      </w:r>
      <w:r>
        <w:rPr>
          <w:rFonts w:ascii="Times New Roman" w:cs="Times New Roman" w:eastAsia="Times New Roman" w:hAnsi="Times New Roman"/>
          <w:sz w:val="18"/>
          <w:szCs w:val="18"/>
          <w:i w:val="1"/>
          <w:iCs w:val="1"/>
          <w:color w:val="000000"/>
        </w:rPr>
        <w:t>“Where You Can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Find More Information” </w:t>
      </w:r>
      <w:r>
        <w:rPr>
          <w:rFonts w:ascii="Times New Roman" w:cs="Times New Roman" w:eastAsia="Times New Roman" w:hAnsi="Times New Roman"/>
          <w:sz w:val="18"/>
          <w:szCs w:val="18"/>
          <w:color w:val="000000"/>
        </w:rPr>
        <w:t>beginning on page 2 and</w:t>
      </w:r>
      <w:r>
        <w:rPr>
          <w:rFonts w:ascii="Times New Roman" w:cs="Times New Roman" w:eastAsia="Times New Roman" w:hAnsi="Times New Roman"/>
          <w:sz w:val="18"/>
          <w:szCs w:val="18"/>
          <w:i w:val="1"/>
          <w:iCs w:val="1"/>
          <w:color w:val="000000"/>
        </w:rPr>
        <w:t xml:space="preserve"> “Incorporation of Certain Documents by Reference” </w:t>
      </w:r>
      <w:r>
        <w:rPr>
          <w:rFonts w:ascii="Times New Roman" w:cs="Times New Roman" w:eastAsia="Times New Roman" w:hAnsi="Times New Roman"/>
          <w:sz w:val="18"/>
          <w:szCs w:val="18"/>
          <w:color w:val="000000"/>
        </w:rPr>
        <w:t>beginning on page 3 for information about how to</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 xml:space="preserve">obtain copies of our filings with the SEC. For a discussion of significant risk factors that apply to the exchange offer and the notes, see the section entitled </w:t>
      </w:r>
      <w:r>
        <w:rPr>
          <w:rFonts w:ascii="Times New Roman" w:cs="Times New Roman" w:eastAsia="Times New Roman" w:hAnsi="Times New Roman"/>
          <w:sz w:val="18"/>
          <w:szCs w:val="18"/>
          <w:i w:val="1"/>
          <w:iCs w:val="1"/>
          <w:color w:val="000000"/>
        </w:rPr>
        <w:t xml:space="preserve">“Risk Factors” </w:t>
      </w:r>
      <w:r>
        <w:rPr>
          <w:rFonts w:ascii="Times New Roman" w:cs="Times New Roman" w:eastAsia="Times New Roman" w:hAnsi="Times New Roman"/>
          <w:sz w:val="18"/>
          <w:szCs w:val="18"/>
          <w:color w:val="000000"/>
        </w:rPr>
        <w:t>beginning on page 13 of this prospectus.</w:t>
      </w:r>
    </w:p>
    <w:p>
      <w:pPr>
        <w:spacing w:after="0" w:line="19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Potential risks and uncertainties that could cause our actual results to differ from those anticipated in any forward-looking statements include, but are not limited to, those described below:</w:t>
      </w:r>
    </w:p>
    <w:p>
      <w:pPr>
        <w:spacing w:after="0" w:line="162" w:lineRule="exact"/>
        <w:rPr>
          <w:sz w:val="20"/>
          <w:szCs w:val="20"/>
          <w:color w:val="auto"/>
        </w:rPr>
      </w:pPr>
    </w:p>
    <w:p>
      <w:pPr>
        <w:ind w:left="1300" w:right="120" w:hanging="644"/>
        <w:spacing w:after="0" w:line="258" w:lineRule="auto"/>
        <w:tabs>
          <w:tab w:leader="none" w:pos="13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strength of the U.S. economy and general economic conditions, (including the interest rate environment, government economic and monetary policies, the strength of global financial markets and inflation/deflation and supply chain issues), whether national or regional, and conditions in the lending markets in which we participate that may have an adverse effect on the demand for our loans and other products, our credit quality and related levels of nonperforming assets and loan losses, and the value and salability of the real estate that we own or that is the collateral for our loans;</w:t>
      </w:r>
    </w:p>
    <w:p>
      <w:pPr>
        <w:spacing w:after="0" w:line="182" w:lineRule="exact"/>
        <w:rPr>
          <w:rFonts w:ascii="Arial" w:cs="Arial" w:eastAsia="Arial" w:hAnsi="Arial"/>
          <w:sz w:val="18"/>
          <w:szCs w:val="18"/>
          <w:b w:val="1"/>
          <w:bCs w:val="1"/>
          <w:color w:val="auto"/>
        </w:rPr>
      </w:pPr>
    </w:p>
    <w:p>
      <w:pPr>
        <w:ind w:left="1300" w:right="300" w:hanging="644"/>
        <w:spacing w:after="0" w:line="281" w:lineRule="auto"/>
        <w:tabs>
          <w:tab w:leader="none" w:pos="13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ability to effectively manage the information technology systems, including third-party vendors, cyber or data privacy incidents or other failures, disruptions or security breaches, and risk related to the development and use of artificial intelligence;</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ability to develop and use technologies to provide products and services that will satisfy customer demands;</w:t>
      </w:r>
    </w:p>
    <w:p>
      <w:pPr>
        <w:spacing w:after="0" w:line="224" w:lineRule="exact"/>
        <w:rPr>
          <w:rFonts w:ascii="Arial" w:cs="Arial" w:eastAsia="Arial" w:hAnsi="Arial"/>
          <w:sz w:val="18"/>
          <w:szCs w:val="18"/>
          <w:b w:val="1"/>
          <w:bCs w:val="1"/>
          <w:color w:val="auto"/>
        </w:rPr>
      </w:pPr>
    </w:p>
    <w:p>
      <w:pPr>
        <w:ind w:left="1300" w:right="580" w:hanging="644"/>
        <w:spacing w:after="0" w:line="281" w:lineRule="auto"/>
        <w:tabs>
          <w:tab w:leader="none" w:pos="13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results of examinations of us by our regulators, including the possibility that our regulators may, among other things, require us to increase our reserve for loan losses or to write-down assets;</w:t>
      </w:r>
    </w:p>
    <w:p>
      <w:pPr>
        <w:spacing w:after="0" w:line="162" w:lineRule="exact"/>
        <w:rPr>
          <w:rFonts w:ascii="Arial" w:cs="Arial" w:eastAsia="Arial" w:hAnsi="Arial"/>
          <w:sz w:val="18"/>
          <w:szCs w:val="18"/>
          <w:b w:val="1"/>
          <w:bCs w:val="1"/>
          <w:color w:val="auto"/>
        </w:rPr>
      </w:pPr>
    </w:p>
    <w:p>
      <w:pPr>
        <w:ind w:left="1300" w:right="120" w:hanging="644"/>
        <w:spacing w:after="0" w:line="260" w:lineRule="auto"/>
        <w:tabs>
          <w:tab w:leader="none" w:pos="13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changing bank regulatory conditions, policies or programs, whether arising as new legislation or regulatory initiatives, which could lead to restrictions on activities of banks generally, or our subsidiary bank in particular, more restrictive regulatory capital requirements, increased costs, including deposit insurance premiums, regulation or prohibition of certain income producing activities or changes in the secondary market for loans and other products;</w:t>
      </w:r>
    </w:p>
    <w:p>
      <w:pPr>
        <w:spacing w:after="0" w:line="182" w:lineRule="exact"/>
        <w:rPr>
          <w:rFonts w:ascii="Arial" w:cs="Arial" w:eastAsia="Arial" w:hAnsi="Arial"/>
          <w:sz w:val="18"/>
          <w:szCs w:val="18"/>
          <w:b w:val="1"/>
          <w:bCs w:val="1"/>
          <w:color w:val="auto"/>
        </w:rPr>
      </w:pPr>
    </w:p>
    <w:p>
      <w:pPr>
        <w:ind w:left="1300" w:right="220" w:hanging="644"/>
        <w:spacing w:after="0" w:line="281" w:lineRule="auto"/>
        <w:tabs>
          <w:tab w:leader="none" w:pos="13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market rates and prices may adversely impact the value of securities, loans, deposits and other financial instruments and the interest rate sensitivity of our balance sheet;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1300" w:hanging="644"/>
        <w:spacing w:after="0"/>
        <w:tabs>
          <w:tab w:leader="none" w:pos="13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liquidity requirements could be adversely affected by changes in our assets and liabilities;</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prudently manage our growth and execute our strategy;</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impairment of our goodwill and intangible assets;</w:t>
      </w:r>
    </w:p>
    <w:p>
      <w:pPr>
        <w:spacing w:after="0" w:line="224" w:lineRule="exact"/>
        <w:rPr>
          <w:rFonts w:ascii="Arial" w:cs="Arial" w:eastAsia="Arial" w:hAnsi="Arial"/>
          <w:sz w:val="18"/>
          <w:szCs w:val="18"/>
          <w:b w:val="1"/>
          <w:bCs w:val="1"/>
          <w:color w:val="auto"/>
        </w:rPr>
      </w:pPr>
    </w:p>
    <w:p>
      <w:pPr>
        <w:ind w:left="1300" w:hanging="644"/>
        <w:spacing w:after="0" w:line="281" w:lineRule="auto"/>
        <w:tabs>
          <w:tab w:leader="none" w:pos="13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competitive factors among financial services organizations, including product and pricing pressures and our ability to attract, develop and retain qualified banking professionals;</w:t>
      </w:r>
    </w:p>
    <w:p>
      <w:pPr>
        <w:spacing w:after="0" w:line="162" w:lineRule="exact"/>
        <w:rPr>
          <w:rFonts w:ascii="Arial" w:cs="Arial" w:eastAsia="Arial" w:hAnsi="Arial"/>
          <w:sz w:val="18"/>
          <w:szCs w:val="18"/>
          <w:b w:val="1"/>
          <w:bCs w:val="1"/>
          <w:color w:val="auto"/>
        </w:rPr>
      </w:pPr>
    </w:p>
    <w:p>
      <w:pPr>
        <w:ind w:left="1300" w:right="200" w:hanging="644"/>
        <w:spacing w:after="0" w:line="311" w:lineRule="auto"/>
        <w:tabs>
          <w:tab w:leader="none" w:pos="1300" w:val="left"/>
        </w:tabs>
        <w:numPr>
          <w:ilvl w:val="0"/>
          <w:numId w:val="3"/>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the effect of acquisitions we have made or may make, including, without limitation, the failure to achieve the expected revenue growth and/or expense savings from such acquisitions, and/or the failure to effectively integrate an acquisition target into our operations;</w:t>
      </w:r>
    </w:p>
    <w:p>
      <w:pPr>
        <w:spacing w:after="0" w:line="140" w:lineRule="exact"/>
        <w:rPr>
          <w:rFonts w:ascii="Arial" w:cs="Arial" w:eastAsia="Arial" w:hAnsi="Arial"/>
          <w:sz w:val="17"/>
          <w:szCs w:val="17"/>
          <w:b w:val="1"/>
          <w:bCs w:val="1"/>
          <w:color w:val="auto"/>
        </w:rPr>
      </w:pPr>
    </w:p>
    <w:p>
      <w:pPr>
        <w:ind w:left="1300" w:hanging="644"/>
        <w:spacing w:after="0"/>
        <w:tabs>
          <w:tab w:leader="none" w:pos="13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growth and profitability of noninterest or fee income being less than expected;</w:t>
      </w:r>
    </w:p>
    <w:p>
      <w:pPr>
        <w:spacing w:after="0" w:line="224" w:lineRule="exact"/>
        <w:rPr>
          <w:rFonts w:ascii="Arial" w:cs="Arial" w:eastAsia="Arial" w:hAnsi="Arial"/>
          <w:sz w:val="18"/>
          <w:szCs w:val="18"/>
          <w:b w:val="1"/>
          <w:bCs w:val="1"/>
          <w:color w:val="auto"/>
        </w:rPr>
      </w:pPr>
    </w:p>
    <w:p>
      <w:pPr>
        <w:ind w:left="1300" w:right="80" w:hanging="644"/>
        <w:spacing w:after="0" w:line="281" w:lineRule="auto"/>
        <w:tabs>
          <w:tab w:leader="none" w:pos="13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effect of legislative or regulatory developments, including changes in laws concerning taxes, banking, securities, insurance and other aspects of the financial services industry;</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effect of any change in federal government enforcement of federal laws affecting the cannabis industry;</w:t>
      </w:r>
    </w:p>
    <w:p>
      <w:pPr>
        <w:spacing w:after="0" w:line="224" w:lineRule="exact"/>
        <w:rPr>
          <w:rFonts w:ascii="Arial" w:cs="Arial" w:eastAsia="Arial" w:hAnsi="Arial"/>
          <w:sz w:val="18"/>
          <w:szCs w:val="18"/>
          <w:b w:val="1"/>
          <w:bCs w:val="1"/>
          <w:color w:val="auto"/>
        </w:rPr>
      </w:pPr>
    </w:p>
    <w:p>
      <w:pPr>
        <w:ind w:left="1300" w:right="40" w:hanging="644"/>
        <w:spacing w:after="0" w:line="281" w:lineRule="auto"/>
        <w:tabs>
          <w:tab w:leader="none" w:pos="13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effect of changes in accounting policies and practices, as may be adopted by the Financial Accounting Standards Board, the SEC, the Public Company Accounting Oversight Board and other regulatory agencies;</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U.S. trade policies, including the implementation of tariffs and other protectionist trade policies;</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impact of governmental efforts to restructure or adjust the U.S. financial regulatory system;</w:t>
      </w:r>
    </w:p>
    <w:p>
      <w:pPr>
        <w:spacing w:after="0" w:line="224" w:lineRule="exact"/>
        <w:rPr>
          <w:rFonts w:ascii="Arial" w:cs="Arial" w:eastAsia="Arial" w:hAnsi="Arial"/>
          <w:sz w:val="18"/>
          <w:szCs w:val="18"/>
          <w:b w:val="1"/>
          <w:bCs w:val="1"/>
          <w:color w:val="auto"/>
        </w:rPr>
      </w:pPr>
    </w:p>
    <w:p>
      <w:pPr>
        <w:ind w:left="1300" w:right="80" w:hanging="644"/>
        <w:spacing w:after="0" w:line="281" w:lineRule="auto"/>
        <w:tabs>
          <w:tab w:leader="none" w:pos="13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impact of recent or future changes in Federal Deposit Insurance Corporation (the “FDIC”) insurance assessment rate or the rules and regulations related to the calculation of the FDIC insurance assessment amount, including any special assessments;</w:t>
      </w:r>
    </w:p>
    <w:p>
      <w:pPr>
        <w:spacing w:after="0" w:line="162" w:lineRule="exact"/>
        <w:rPr>
          <w:rFonts w:ascii="Arial" w:cs="Arial" w:eastAsia="Arial" w:hAnsi="Arial"/>
          <w:sz w:val="18"/>
          <w:szCs w:val="18"/>
          <w:b w:val="1"/>
          <w:bCs w:val="1"/>
          <w:color w:val="auto"/>
        </w:rPr>
      </w:pPr>
    </w:p>
    <w:p>
      <w:pPr>
        <w:ind w:left="1300" w:right="40" w:hanging="644"/>
        <w:spacing w:after="0" w:line="281" w:lineRule="auto"/>
        <w:tabs>
          <w:tab w:leader="none" w:pos="13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effects of federal government shutdowns, debt ceiling standoff, or other uncertainty regarding fiscal and governmental policies of the U.S. federal government;</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climate change and other catastrophic events or disasters;</w:t>
      </w:r>
    </w:p>
    <w:p>
      <w:pPr>
        <w:spacing w:after="0" w:line="224" w:lineRule="exact"/>
        <w:rPr>
          <w:rFonts w:ascii="Arial" w:cs="Arial" w:eastAsia="Arial" w:hAnsi="Arial"/>
          <w:sz w:val="18"/>
          <w:szCs w:val="18"/>
          <w:b w:val="1"/>
          <w:bCs w:val="1"/>
          <w:color w:val="auto"/>
        </w:rPr>
      </w:pPr>
    </w:p>
    <w:p>
      <w:pPr>
        <w:ind w:left="1300" w:right="60" w:hanging="644"/>
        <w:spacing w:after="0" w:line="281" w:lineRule="auto"/>
        <w:tabs>
          <w:tab w:leader="none" w:pos="13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geopolitical conditions, including acts or threats of terrorism, actions taken by the United States or other governments in response to acts of terrorism, and/or military conflicts, which could impact business and economic conditions in the United States and abroad; and</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other factors that may affect our future results.</w:t>
      </w:r>
    </w:p>
    <w:p>
      <w:pPr>
        <w:spacing w:after="0" w:line="22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If any of these risks or uncertainties materialize, or if any of the assumptions underlying such forward-looking statements prove to be incorrect, our results could differ materially from those expressed in, implied or projected by, such forward-looking statements. You should not place undue reliance on any forward-looking statements, which speak only as of the dates they are made. Except to the extent required by applicable law or regulation, we undertake no obligation to update these forward-looking statements to reflect events or circumstances after the date of this prospectus or to reflect the occurrence of unanticipated events.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4556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6130" cy="4556125"/>
                    </a:xfrm>
                    <a:prstGeom prst="rect">
                      <a:avLst/>
                    </a:prstGeom>
                    <a:noFill/>
                  </pic:spPr>
                </pic:pic>
              </a:graphicData>
            </a:graphic>
          </wp:anchor>
        </w:drawing>
        <w:t>SUMMARY</w:t>
      </w:r>
    </w:p>
    <w:p>
      <w:pPr>
        <w:spacing w:after="0" w:line="227"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appearing elsewhere, or incorporated by reference, in this prospectus and is, therefore, qualified in its entirety by the more detailed information appearing elsewhere, or incorporated by reference, in this prospectus. It may not contain all of the information that may be important to you in deciding to exchange your Old Notes for New Notes. We urge you to read carefully this entire prospectus and the other documents to which it refers to understand fully the terms of the New Notes and the exchange offer. You should pay special attention to the section entitled “Risk Factors” and the “Cautionary Note Regarding Forward-Looking Statements” beginning on pages 13 and 4, respectively.</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Hanover Bancorp, Inc.</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Hanover Bancorp is the holding company for Hanover Community Bank, a New York chartered community commercial bank focusing on highly personalized and efficient services and products responsive to local needs. The Bank operates as a locally headquartered, community-oriented bank serving customers throughout the New York metro area from offices in Nassau, Suffolk, Queens, Kings (Brooklyn) and New York (Manhattan) Counties, New York, and Freehold, Monmouth County, New Jersey. We opened the Bank’s Hauppauge Business Banking Center in Hauppauge, Suffolk County, New York in May 2023. In June 2025, we opened a full-service branch in Port Jefferson, Suffolk County, New York.</w:t>
      </w:r>
    </w:p>
    <w:p>
      <w:pPr>
        <w:spacing w:after="0" w:line="183" w:lineRule="exact"/>
        <w:rPr>
          <w:sz w:val="20"/>
          <w:szCs w:val="20"/>
          <w:color w:val="auto"/>
        </w:rPr>
      </w:pPr>
    </w:p>
    <w:p>
      <w:pPr>
        <w:ind w:right="80" w:firstLine="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information related to our operations in these segments is included in the notes to the Company’s Consolidated Financial Statements included in Item 8 of Part II of our </w:t>
      </w:r>
      <w:hyperlink r:id="rId13">
        <w:r>
          <w:rPr>
            <w:rFonts w:ascii="Times New Roman" w:cs="Times New Roman" w:eastAsia="Times New Roman" w:hAnsi="Times New Roman"/>
            <w:sz w:val="18"/>
            <w:szCs w:val="18"/>
            <w:u w:val="single" w:color="auto"/>
            <w:color w:val="0000EE"/>
          </w:rPr>
          <w:t>Annual Report on Form 10-K for the year ended December 31, 2025</w:t>
        </w:r>
      </w:hyperlink>
      <w:r>
        <w:rPr>
          <w:rFonts w:ascii="Times New Roman" w:cs="Times New Roman" w:eastAsia="Times New Roman" w:hAnsi="Times New Roman"/>
          <w:sz w:val="18"/>
          <w:szCs w:val="18"/>
          <w:color w:val="auto"/>
        </w:rPr>
        <w:t>, and any consolidated financial statements of the Company that we subsequently file with the SEC, which are incorporated by reference in this prospectus. A detailed discussion of our business is contained in Item 1 of Part I of our Annual Report on Form 10-K for the year ended December 31, 2025, and any subsequent reports that we file with the SEC, which are incorporated by reference in this 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2 for information on how to obtain a copy of our annual report and any subsequent reports.</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“HNVR.” Our principal executive office is located at 80 East Jericho Turnpike, Mineola, New York 11501 and our telephone number is (516) 548-8500. We maintain an Internet site at http://www.hanoverbank.com on which we make available free of charge our Annual Reports on Form 10-K, Quarterly Reports on Form 10-Q, Current Reports on Form 8-K, and all amendments to the foregoing as soon as reasonably practicable after these reports are electronically filed with, or furnished to, the SEC. Neither our website nor the information on our website is included or incorporated in, or is a part of, this prospectus.</w:t>
      </w:r>
    </w:p>
    <w:p>
      <w:pPr>
        <w:spacing w:after="0" w:line="18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we had total assets of $2.37 billion, total loans of $1.99 billion, total deposits of $2.02 billion and total stockholders’ equity of $201.4 million.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460" w:top="914" w:right="4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767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6130" cy="6767830"/>
                    </a:xfrm>
                    <a:prstGeom prst="rect">
                      <a:avLst/>
                    </a:prstGeom>
                    <a:noFill/>
                  </pic:spPr>
                </pic:pic>
              </a:graphicData>
            </a:graphic>
          </wp:anchor>
        </w:drawing>
        <w:t>Summary of the Exchange Offer</w:t>
      </w:r>
    </w:p>
    <w:p>
      <w:pPr>
        <w:spacing w:after="0" w:line="227"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color w:val="auto"/>
        </w:rPr>
        <w:t>The following provides a summary of certain terms of the exchange offer. Please refer to the section entitled “</w:t>
      </w:r>
      <w:r>
        <w:rPr>
          <w:rFonts w:ascii="Times New Roman" w:cs="Times New Roman" w:eastAsia="Times New Roman" w:hAnsi="Times New Roman"/>
          <w:sz w:val="18"/>
          <w:szCs w:val="18"/>
          <w:i w:val="1"/>
          <w:iCs w:val="1"/>
          <w:color w:val="auto"/>
        </w:rPr>
        <w:t>The Exchange Offer</w:t>
      </w:r>
      <w:r>
        <w:rPr>
          <w:rFonts w:ascii="Times New Roman" w:cs="Times New Roman" w:eastAsia="Times New Roman" w:hAnsi="Times New Roman"/>
          <w:sz w:val="18"/>
          <w:szCs w:val="18"/>
          <w:color w:val="auto"/>
        </w:rPr>
        <w:t>” beginning on page 21 for a more complete description of the exchange offer and the section entitled “</w:t>
      </w:r>
      <w:r>
        <w:rPr>
          <w:rFonts w:ascii="Times New Roman" w:cs="Times New Roman" w:eastAsia="Times New Roman" w:hAnsi="Times New Roman"/>
          <w:sz w:val="18"/>
          <w:szCs w:val="18"/>
          <w:i w:val="1"/>
          <w:iCs w:val="1"/>
          <w:color w:val="auto"/>
        </w:rPr>
        <w:t>Description of the Notes</w:t>
      </w:r>
      <w:r>
        <w:rPr>
          <w:rFonts w:ascii="Times New Roman" w:cs="Times New Roman" w:eastAsia="Times New Roman" w:hAnsi="Times New Roman"/>
          <w:sz w:val="18"/>
          <w:szCs w:val="18"/>
          <w:color w:val="auto"/>
        </w:rPr>
        <w:t>” beginning on page 31 for a more complete description of the terms of the Old Notes and New Notes.</w:t>
      </w:r>
    </w:p>
    <w:p>
      <w:pPr>
        <w:spacing w:after="0" w:line="171"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b w:val="1"/>
          <w:bCs w:val="1"/>
          <w:color w:val="auto"/>
        </w:rPr>
        <w:t>Old Notes</w:t>
      </w:r>
      <w:r>
        <w:rPr>
          <w:sz w:val="20"/>
          <w:szCs w:val="20"/>
          <w:color w:val="auto"/>
        </w:rPr>
        <w:tab/>
      </w:r>
      <w:r>
        <w:rPr>
          <w:rFonts w:ascii="Times New Roman" w:cs="Times New Roman" w:eastAsia="Times New Roman" w:hAnsi="Times New Roman"/>
          <w:sz w:val="17"/>
          <w:szCs w:val="17"/>
          <w:color w:val="auto"/>
        </w:rPr>
        <w:t>$35,000,000 in aggregate principal amount of 7.25% Fixed-to-Floating Rate Subordinated Notes</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due 2036.</w:t>
      </w:r>
    </w:p>
    <w:p>
      <w:pPr>
        <w:spacing w:after="0" w:line="203"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b w:val="1"/>
          <w:bCs w:val="1"/>
          <w:color w:val="auto"/>
        </w:rPr>
        <w:t>New Notes</w:t>
      </w:r>
      <w:r>
        <w:rPr>
          <w:sz w:val="20"/>
          <w:szCs w:val="20"/>
          <w:color w:val="auto"/>
        </w:rPr>
        <w:tab/>
      </w:r>
      <w:r>
        <w:rPr>
          <w:rFonts w:ascii="Times New Roman" w:cs="Times New Roman" w:eastAsia="Times New Roman" w:hAnsi="Times New Roman"/>
          <w:sz w:val="17"/>
          <w:szCs w:val="17"/>
          <w:color w:val="auto"/>
        </w:rPr>
        <w:t>Up to $35,000,000 in aggregate principal amount of 7.25% Fixed-to-Floating Rate Subordinated</w:t>
      </w:r>
    </w:p>
    <w:p>
      <w:pPr>
        <w:spacing w:after="0" w:line="31" w:lineRule="exact"/>
        <w:rPr>
          <w:sz w:val="20"/>
          <w:szCs w:val="20"/>
          <w:color w:val="auto"/>
        </w:rPr>
      </w:pPr>
    </w:p>
    <w:p>
      <w:pPr>
        <w:ind w:left="3840" w:right="20"/>
        <w:spacing w:after="0" w:line="252" w:lineRule="auto"/>
        <w:rPr>
          <w:sz w:val="20"/>
          <w:szCs w:val="20"/>
          <w:color w:val="auto"/>
        </w:rPr>
      </w:pPr>
      <w:r>
        <w:rPr>
          <w:rFonts w:ascii="Times New Roman" w:cs="Times New Roman" w:eastAsia="Times New Roman" w:hAnsi="Times New Roman"/>
          <w:sz w:val="18"/>
          <w:szCs w:val="18"/>
          <w:color w:val="auto"/>
        </w:rPr>
        <w:t>Notes due 2036, which have terms that are identical in all material respects to the terms of the Old Notes, except that: (i) the New Notes are registered under the Securities Act and, as a result, will not bear any legend restricting their transfer, (ii) the New Notes bear a different CUSIP number from the Old Notes, and (iii) the New Notes are generally not subject to transfer restrictions, are not entitled to registration rights under the registration rights agreements and do not have the right to additional interest under the circumstances described in the registration rights agreements relating to our fulfillment of our registration obligations.</w:t>
      </w:r>
    </w:p>
    <w:p>
      <w:pPr>
        <w:spacing w:after="0" w:line="184"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b w:val="1"/>
          <w:bCs w:val="1"/>
          <w:color w:val="auto"/>
        </w:rPr>
        <w:t>Exchange Offer</w:t>
      </w:r>
      <w:r>
        <w:rPr>
          <w:sz w:val="20"/>
          <w:szCs w:val="20"/>
          <w:color w:val="auto"/>
        </w:rPr>
        <w:tab/>
      </w:r>
      <w:r>
        <w:rPr>
          <w:rFonts w:ascii="Times New Roman" w:cs="Times New Roman" w:eastAsia="Times New Roman" w:hAnsi="Times New Roman"/>
          <w:sz w:val="17"/>
          <w:szCs w:val="17"/>
          <w:color w:val="auto"/>
        </w:rPr>
        <w:t>We are offering to exchange the Old Notes for a like principal amount of New Notes. Subject to</w:t>
      </w:r>
    </w:p>
    <w:p>
      <w:pPr>
        <w:spacing w:after="0" w:line="31" w:lineRule="exact"/>
        <w:rPr>
          <w:sz w:val="20"/>
          <w:szCs w:val="20"/>
          <w:color w:val="auto"/>
        </w:rPr>
      </w:pPr>
    </w:p>
    <w:p>
      <w:pPr>
        <w:ind w:left="3840"/>
        <w:spacing w:after="0" w:line="255" w:lineRule="auto"/>
        <w:rPr>
          <w:sz w:val="20"/>
          <w:szCs w:val="20"/>
          <w:color w:val="auto"/>
        </w:rPr>
      </w:pPr>
      <w:r>
        <w:rPr>
          <w:rFonts w:ascii="Times New Roman" w:cs="Times New Roman" w:eastAsia="Times New Roman" w:hAnsi="Times New Roman"/>
          <w:sz w:val="18"/>
          <w:szCs w:val="18"/>
          <w:color w:val="auto"/>
        </w:rPr>
        <w:t>the terms of this exchange offer, promptly following the termination of the exchange offer, we will exchange all Old Notes that have been validly tendered and not validly withdrawn prior to the expiration of the exchange offer for New Notes.</w:t>
      </w:r>
    </w:p>
    <w:p>
      <w:pPr>
        <w:sectPr>
          <w:pgSz w:w="11900" w:h="16838" w:orient="portrait"/>
          <w:cols w:equalWidth="0" w:num="1">
            <w:col w:w="10940"/>
          </w:cols>
          <w:pgMar w:left="460" w:top="914" w:right="49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 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Rights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Exchange Offer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Procedures for Tendering Old Notes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exchange offer will expire at 11:59 p.m., New York City time, on July 23, 2026, unless extended.</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this prospectus, you may validly withdraw the tender of your Old Notes at any time before the expiration date.</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This exchange offer is subject to customary conditions, which we may waive. See the section entitled “</w:t>
      </w:r>
      <w:r>
        <w:rPr>
          <w:rFonts w:ascii="Times New Roman" w:cs="Times New Roman" w:eastAsia="Times New Roman" w:hAnsi="Times New Roman"/>
          <w:sz w:val="18"/>
          <w:szCs w:val="18"/>
          <w:i w:val="1"/>
          <w:iCs w:val="1"/>
          <w:color w:val="auto"/>
        </w:rPr>
        <w:t>The Exchange Offer — Conditions</w:t>
      </w:r>
      <w:r>
        <w:rPr>
          <w:rFonts w:ascii="Times New Roman" w:cs="Times New Roman" w:eastAsia="Times New Roman" w:hAnsi="Times New Roman"/>
          <w:sz w:val="18"/>
          <w:szCs w:val="18"/>
          <w:color w:val="auto"/>
        </w:rPr>
        <w:t>” beginning on page 24.</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Since the Old Notes are represented by global book-entry notes, the Depository Trust Company (“DTC”), as depositary, or its nominee is treated as the registered holder of the Old Notes and will be the only entity that can tender your Old Notes for New Notes.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order to participate in the exchange offer, you must follow the procedures established by DTC for tendering Old Notes held in book-entry form. These procedures, which we call “ATOP” (“Automated Tender Offer Program”) procedures, require that (i) the exchange agent receive, prior to the expiration date of the exchange offer, a computer generated message known as an “agent’s message” that is transmitted through ATOP, and (ii) DTC has received (a) your instructions to exchange your Old Notes, and (b) your agreement to be bound by the terms of the accompanying letter of transmittal for book-entry notes.</w:t>
      </w:r>
    </w:p>
    <w:p>
      <w:pPr>
        <w:spacing w:after="0" w:line="189"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Please note that by agreeing to be bound by such letter of transmittal, you will be making a number of important representations to us. See the section entitled “</w:t>
      </w:r>
      <w:r>
        <w:rPr>
          <w:rFonts w:ascii="Times New Roman" w:cs="Times New Roman" w:eastAsia="Times New Roman" w:hAnsi="Times New Roman"/>
          <w:sz w:val="18"/>
          <w:szCs w:val="18"/>
          <w:i w:val="1"/>
          <w:iCs w:val="1"/>
          <w:color w:val="auto"/>
        </w:rPr>
        <w:t>The Exchange Offer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Eligibility; Transferability</w:t>
      </w:r>
      <w:r>
        <w:rPr>
          <w:rFonts w:ascii="Times New Roman" w:cs="Times New Roman" w:eastAsia="Times New Roman" w:hAnsi="Times New Roman"/>
          <w:sz w:val="18"/>
          <w:szCs w:val="18"/>
          <w:color w:val="auto"/>
        </w:rPr>
        <w:t>” beginning on page 23.</w:t>
      </w:r>
    </w:p>
    <w:p>
      <w:pPr>
        <w:spacing w:after="0" w:line="200" w:lineRule="exact"/>
        <w:rPr>
          <w:sz w:val="20"/>
          <w:szCs w:val="20"/>
          <w:color w:val="auto"/>
        </w:rPr>
      </w:pPr>
    </w:p>
    <w:p>
      <w:pPr>
        <w:sectPr>
          <w:pgSz w:w="11900" w:h="16838" w:orient="portrait"/>
          <w:cols w:equalWidth="0" w:num="2">
            <w:col w:w="3120" w:space="720"/>
            <w:col w:w="7100"/>
          </w:cols>
          <w:pgMar w:left="460" w:top="914" w:right="499" w:bottom="1440" w:gutter="0" w:footer="0" w:header="0"/>
          <w:type w:val="continuous"/>
        </w:sect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31750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60" w:top="914" w:right="499" w:bottom="1440" w:gutter="0" w:footer="0" w:header="0"/>
          <w:type w:val="continuous"/>
        </w:sectPr>
      </w:pPr>
    </w:p>
    <w:bookmarkStart w:id="10" w:name="page11"/>
    <w:bookmarkEnd w:id="10"/>
    <w:tbl>
      <w:tblPr>
        <w:tblLayout w:type="fixed"/>
        <w:tblInd w:w="10" w:type="dxa"/>
        <w:tblCellMar>
          <w:top w:w="0" w:type="dxa"/>
          <w:left w:w="0" w:type="dxa"/>
          <w:bottom w:w="0" w:type="dxa"/>
          <w:right w:w="0" w:type="dxa"/>
        </w:tblCellMar>
      </w:tblPr>
      <w:tr>
        <w:trPr>
          <w:trHeight w:val="453"/>
        </w:trPr>
        <w:tc>
          <w:tcPr>
            <w:tcW w:w="368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w:t>
            </w:r>
          </w:p>
        </w:tc>
        <w:tc>
          <w:tcPr>
            <w:tcW w:w="756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The exchange of Old Notes for New Notes in the exchange offer generally should not constitute a</w:t>
            </w:r>
          </w:p>
        </w:tc>
      </w:tr>
      <w:tr>
        <w:trPr>
          <w:trHeight w:val="218"/>
        </w:trPr>
        <w:tc>
          <w:tcPr>
            <w:tcW w:w="36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Considerations</w:t>
            </w: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taxable event for U.S. federal income tax purposes. See the section entitled “</w:t>
            </w:r>
            <w:r>
              <w:rPr>
                <w:rFonts w:ascii="Times New Roman" w:cs="Times New Roman" w:eastAsia="Times New Roman" w:hAnsi="Times New Roman"/>
                <w:sz w:val="18"/>
                <w:szCs w:val="18"/>
                <w:i w:val="1"/>
                <w:iCs w:val="1"/>
                <w:color w:val="auto"/>
              </w:rPr>
              <w:t>Certain United States</w:t>
            </w:r>
          </w:p>
        </w:tc>
      </w:tr>
      <w:tr>
        <w:trPr>
          <w:trHeight w:val="218"/>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i w:val="1"/>
                <w:iCs w:val="1"/>
                <w:color w:val="auto"/>
              </w:rPr>
              <w:t>Federal Income Tax Considerations</w:t>
            </w:r>
            <w:r>
              <w:rPr>
                <w:rFonts w:ascii="Times New Roman" w:cs="Times New Roman" w:eastAsia="Times New Roman" w:hAnsi="Times New Roman"/>
                <w:sz w:val="18"/>
                <w:szCs w:val="18"/>
                <w:color w:val="auto"/>
              </w:rPr>
              <w:t>” beginning on page 47. You should consult your own tax</w:t>
            </w:r>
          </w:p>
        </w:tc>
      </w:tr>
      <w:tr>
        <w:trPr>
          <w:trHeight w:val="234"/>
        </w:trPr>
        <w:tc>
          <w:tcPr>
            <w:tcW w:w="368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advisor as to the tax consequences of exchanging your Old Notes for New Notes.</w:t>
            </w:r>
          </w:p>
        </w:tc>
      </w:tr>
      <w:tr>
        <w:trPr>
          <w:trHeight w:val="414"/>
        </w:trPr>
        <w:tc>
          <w:tcPr>
            <w:tcW w:w="36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Registration Rights</w:t>
            </w: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Under the terms of the registration rights agreements that we entered into with the initial</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purchasers of the Old Notes at the time we issued the Old Notes, we agreed to register the New</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Notes and undertake this exchange offer. This exchange offer is intended to satisfy the rights of</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holders of Old Notes under those registration rights agreements. After the exchange offer is</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completed, we will have no further obligations to provide for any exchange or undertake any</w:t>
            </w:r>
          </w:p>
        </w:tc>
      </w:tr>
      <w:tr>
        <w:trPr>
          <w:trHeight w:val="234"/>
        </w:trPr>
        <w:tc>
          <w:tcPr>
            <w:tcW w:w="368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further registration with respect to the Old Notes.</w:t>
            </w:r>
          </w:p>
        </w:tc>
      </w:tr>
      <w:tr>
        <w:trPr>
          <w:trHeight w:val="414"/>
        </w:trPr>
        <w:tc>
          <w:tcPr>
            <w:tcW w:w="36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Transferability</w:t>
            </w: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Based upon existing interpretations of the Securities Act by the staff of the SEC contained in</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several no-action letters issued to third parties, we believe that the New Notes may be offered for</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resale, resold or otherwise transferred by you without compliance with the registration and</w:t>
            </w:r>
          </w:p>
        </w:tc>
      </w:tr>
      <w:tr>
        <w:trPr>
          <w:trHeight w:val="234"/>
        </w:trPr>
        <w:tc>
          <w:tcPr>
            <w:tcW w:w="368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prospectus delivery requirements of the Securities Act, provided that:</w:t>
            </w:r>
          </w:p>
        </w:tc>
      </w:tr>
      <w:tr>
        <w:trPr>
          <w:trHeight w:val="445"/>
        </w:trPr>
        <w:tc>
          <w:tcPr>
            <w:tcW w:w="368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62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you are acquiring the New Notes in the ordinary course of your business;</w:t>
            </w:r>
          </w:p>
        </w:tc>
      </w:tr>
      <w:tr>
        <w:trPr>
          <w:trHeight w:val="427"/>
        </w:trPr>
        <w:tc>
          <w:tcPr>
            <w:tcW w:w="368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62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you are not participating or engaged in, do not intend to participate or engage in, and have</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no arrangement or understanding with any person to participate in, the distribution of the</w:t>
            </w:r>
          </w:p>
        </w:tc>
      </w:tr>
      <w:tr>
        <w:trPr>
          <w:trHeight w:val="234"/>
        </w:trPr>
        <w:tc>
          <w:tcPr>
            <w:tcW w:w="368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New Notes issued to you;</w:t>
            </w:r>
          </w:p>
        </w:tc>
      </w:tr>
      <w:tr>
        <w:trPr>
          <w:trHeight w:val="427"/>
        </w:trPr>
        <w:tc>
          <w:tcPr>
            <w:tcW w:w="368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62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you are not an “affiliate” of ours within the meaning of Rule 405 under the Securities Act;</w:t>
            </w:r>
          </w:p>
        </w:tc>
      </w:tr>
      <w:tr>
        <w:trPr>
          <w:trHeight w:val="234"/>
        </w:trPr>
        <w:tc>
          <w:tcPr>
            <w:tcW w:w="368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and</w:t>
            </w:r>
          </w:p>
        </w:tc>
      </w:tr>
      <w:tr>
        <w:trPr>
          <w:trHeight w:val="445"/>
        </w:trPr>
        <w:tc>
          <w:tcPr>
            <w:tcW w:w="368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62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you are not acting on behalf of any person who could not truthfully make these statements.</w:t>
            </w:r>
          </w:p>
        </w:tc>
      </w:tr>
      <w:tr>
        <w:trPr>
          <w:trHeight w:val="414"/>
        </w:trPr>
        <w:tc>
          <w:tcPr>
            <w:tcW w:w="368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Our belief that transfers of New Notes would be permitted without registration or prospectus</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delivery under the conditions described above is based on interpretations by the staff of the SEC</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given to other, unrelated issuers in similar exchange offers. The staff of the SEC has not</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considered this exchange offer in the context of a no-action letter, and we cannot assure you that</w:t>
            </w:r>
          </w:p>
        </w:tc>
      </w:tr>
      <w:tr>
        <w:trPr>
          <w:trHeight w:val="234"/>
        </w:trPr>
        <w:tc>
          <w:tcPr>
            <w:tcW w:w="368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the staff of the SEC would make a similar interpretation with respect to our exchange offer.</w:t>
            </w:r>
          </w:p>
        </w:tc>
      </w:tr>
      <w:tr>
        <w:trPr>
          <w:trHeight w:val="414"/>
        </w:trPr>
        <w:tc>
          <w:tcPr>
            <w:tcW w:w="368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If our belief is not accurate and you transfer a New Note without delivering a prospectus meeting</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the requirements of the Securities Act or without an exemption from such requirements, you may</w:t>
            </w:r>
          </w:p>
        </w:tc>
      </w:tr>
      <w:tr>
        <w:trPr>
          <w:trHeight w:val="216"/>
        </w:trPr>
        <w:tc>
          <w:tcPr>
            <w:tcW w:w="368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incur liability under the Securities Act. We do not and will not assume, or indemnify you against,</w:t>
            </w:r>
          </w:p>
        </w:tc>
      </w:tr>
      <w:tr>
        <w:trPr>
          <w:trHeight w:val="234"/>
        </w:trPr>
        <w:tc>
          <w:tcPr>
            <w:tcW w:w="368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such liability.</w:t>
            </w:r>
          </w:p>
        </w:tc>
      </w:tr>
      <w:tr>
        <w:trPr>
          <w:trHeight w:val="253"/>
        </w:trPr>
        <w:tc>
          <w:tcPr>
            <w:tcW w:w="3680" w:type="dxa"/>
            <w:vAlign w:val="bottom"/>
            <w:tcBorders>
              <w:left w:val="single" w:sz="8" w:color="auto"/>
              <w:bottom w:val="single" w:sz="8" w:color="auto"/>
            </w:tcBorders>
          </w:tcPr>
          <w:p>
            <w:pPr>
              <w:spacing w:after="0"/>
              <w:rPr>
                <w:sz w:val="22"/>
                <w:szCs w:val="22"/>
                <w:color w:val="auto"/>
              </w:rPr>
            </w:pPr>
          </w:p>
        </w:tc>
        <w:tc>
          <w:tcPr>
            <w:tcW w:w="7560" w:type="dxa"/>
            <w:vAlign w:val="bottom"/>
            <w:tcBorders>
              <w:bottom w:val="single" w:sz="8" w:color="auto"/>
              <w:right w:val="single" w:sz="8" w:color="auto"/>
            </w:tcBorders>
          </w:tcPr>
          <w:p>
            <w:pPr>
              <w:spacing w:after="0"/>
              <w:rPr>
                <w:sz w:val="22"/>
                <w:szCs w:val="22"/>
                <w:color w:val="auto"/>
              </w:rPr>
            </w:pPr>
          </w:p>
        </w:tc>
      </w:tr>
      <w:tr>
        <w:trPr>
          <w:trHeight w:val="429"/>
        </w:trPr>
        <w:tc>
          <w:tcPr>
            <w:tcW w:w="368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683" w:right="339" w:bottom="1440" w:gutter="0" w:footer="0" w:header="0"/>
        </w:sectPr>
      </w:pPr>
    </w:p>
    <w:bookmarkStart w:id="11" w:name="page12"/>
    <w:bookmarkEnd w:id="11"/>
    <w:p>
      <w:pPr>
        <w:ind w:left="3980"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4178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36130" cy="4178935"/>
                    </a:xfrm>
                    <a:prstGeom prst="rect">
                      <a:avLst/>
                    </a:prstGeom>
                    <a:noFill/>
                  </pic:spPr>
                </pic:pic>
              </a:graphicData>
            </a:graphic>
          </wp:anchor>
        </w:drawing>
        <w:t>Each broker-dealer that receives New Notes for its own account under the exchange offer in exchange for Old Notes that were acquired by the broker-dealer as a result of market-making or other trading activity must acknowledge that it will deliver a prospectus meeting the requirements of the Securities Act in connection with any resale of the New Notes.</w:t>
      </w:r>
    </w:p>
    <w:p>
      <w:pPr>
        <w:spacing w:after="0" w:line="178" w:lineRule="exact"/>
        <w:rPr>
          <w:sz w:val="20"/>
          <w:szCs w:val="20"/>
          <w:color w:val="auto"/>
        </w:rPr>
      </w:pPr>
    </w:p>
    <w:p>
      <w:pPr>
        <w:ind w:left="3980" w:right="380"/>
        <w:spacing w:after="0" w:line="284" w:lineRule="auto"/>
        <w:rPr>
          <w:sz w:val="20"/>
          <w:szCs w:val="20"/>
          <w:color w:val="auto"/>
        </w:rPr>
      </w:pPr>
      <w:r>
        <w:rPr>
          <w:rFonts w:ascii="Times New Roman" w:cs="Times New Roman" w:eastAsia="Times New Roman" w:hAnsi="Times New Roman"/>
          <w:sz w:val="18"/>
          <w:szCs w:val="18"/>
          <w:color w:val="auto"/>
        </w:rPr>
        <w:t>See the sections entitled “</w:t>
      </w:r>
      <w:r>
        <w:rPr>
          <w:rFonts w:ascii="Times New Roman" w:cs="Times New Roman" w:eastAsia="Times New Roman" w:hAnsi="Times New Roman"/>
          <w:sz w:val="18"/>
          <w:szCs w:val="18"/>
          <w:i w:val="1"/>
          <w:iCs w:val="1"/>
          <w:color w:val="auto"/>
        </w:rPr>
        <w:t>The Exchange Offer — Eligibility; Transferability</w:t>
      </w:r>
      <w:r>
        <w:rPr>
          <w:rFonts w:ascii="Times New Roman" w:cs="Times New Roman" w:eastAsia="Times New Roman" w:hAnsi="Times New Roman"/>
          <w:sz w:val="18"/>
          <w:szCs w:val="18"/>
          <w:color w:val="auto"/>
        </w:rPr>
        <w:t>” beginning on page 23 and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48.</w:t>
      </w:r>
    </w:p>
    <w:p>
      <w:pPr>
        <w:spacing w:after="0" w:line="156" w:lineRule="exact"/>
        <w:rPr>
          <w:sz w:val="20"/>
          <w:szCs w:val="20"/>
          <w:color w:val="auto"/>
        </w:rPr>
      </w:pPr>
    </w:p>
    <w:p>
      <w:pPr>
        <w:ind w:left="140"/>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Consequences of Failing to Exchange Old Notes</w:t>
      </w:r>
      <w:r>
        <w:rPr>
          <w:sz w:val="20"/>
          <w:szCs w:val="20"/>
          <w:color w:val="auto"/>
        </w:rPr>
        <w:tab/>
      </w:r>
      <w:r>
        <w:rPr>
          <w:rFonts w:ascii="Times New Roman" w:cs="Times New Roman" w:eastAsia="Times New Roman" w:hAnsi="Times New Roman"/>
          <w:sz w:val="17"/>
          <w:szCs w:val="17"/>
          <w:color w:val="auto"/>
        </w:rPr>
        <w:t>Any Old Notes that are not exchanged in the exchange offer will continue to be governed by the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indenture relating to the Old Notes and the terms of the Old Notes. Old Notes that are not</w:t>
            </w:r>
          </w:p>
        </w:tc>
      </w:tr>
      <w:tr>
        <w:trPr>
          <w:trHeight w:val="216"/>
        </w:trPr>
        <w:tc>
          <w:tcPr>
            <w:tcW w:w="3500" w:type="dxa"/>
            <w:vAlign w:val="bottom"/>
          </w:tcPr>
          <w:p>
            <w:pPr>
              <w:spacing w:after="0"/>
              <w:rPr>
                <w:sz w:val="18"/>
                <w:szCs w:val="18"/>
                <w:color w:val="auto"/>
              </w:rPr>
            </w:pPr>
          </w:p>
        </w:tc>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exchanged will remain subject to the restrictions on transfer described in the Old Notes, and you</w:t>
            </w:r>
          </w:p>
        </w:tc>
      </w:tr>
      <w:tr>
        <w:trPr>
          <w:trHeight w:val="216"/>
        </w:trPr>
        <w:tc>
          <w:tcPr>
            <w:tcW w:w="3500" w:type="dxa"/>
            <w:vAlign w:val="bottom"/>
          </w:tcPr>
          <w:p>
            <w:pPr>
              <w:spacing w:after="0"/>
              <w:rPr>
                <w:sz w:val="18"/>
                <w:szCs w:val="18"/>
                <w:color w:val="auto"/>
              </w:rPr>
            </w:pPr>
          </w:p>
        </w:tc>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will not be able to offer or sell the Old Notes except under an exemption from the requirements of</w:t>
            </w:r>
          </w:p>
        </w:tc>
      </w:tr>
      <w:tr>
        <w:trPr>
          <w:trHeight w:val="216"/>
        </w:trPr>
        <w:tc>
          <w:tcPr>
            <w:tcW w:w="3500" w:type="dxa"/>
            <w:vAlign w:val="bottom"/>
          </w:tcPr>
          <w:p>
            <w:pPr>
              <w:spacing w:after="0"/>
              <w:rPr>
                <w:sz w:val="18"/>
                <w:szCs w:val="18"/>
                <w:color w:val="auto"/>
              </w:rPr>
            </w:pPr>
          </w:p>
        </w:tc>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Securities Act or unless the Old Notes are otherwise registered under the Securities Act. Upon</w:t>
            </w:r>
          </w:p>
        </w:tc>
      </w:tr>
      <w:tr>
        <w:trPr>
          <w:trHeight w:val="216"/>
        </w:trPr>
        <w:tc>
          <w:tcPr>
            <w:tcW w:w="3500" w:type="dxa"/>
            <w:vAlign w:val="bottom"/>
          </w:tcPr>
          <w:p>
            <w:pPr>
              <w:spacing w:after="0"/>
              <w:rPr>
                <w:sz w:val="18"/>
                <w:szCs w:val="18"/>
                <w:color w:val="auto"/>
              </w:rPr>
            </w:pPr>
          </w:p>
        </w:tc>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completion of the exchange offer, we will have no further obligations to provide for</w:t>
            </w:r>
          </w:p>
        </w:tc>
      </w:tr>
      <w:tr>
        <w:trPr>
          <w:trHeight w:val="216"/>
        </w:trPr>
        <w:tc>
          <w:tcPr>
            <w:tcW w:w="3500" w:type="dxa"/>
            <w:vAlign w:val="bottom"/>
          </w:tcPr>
          <w:p>
            <w:pPr>
              <w:spacing w:after="0"/>
              <w:rPr>
                <w:sz w:val="18"/>
                <w:szCs w:val="18"/>
                <w:color w:val="auto"/>
              </w:rPr>
            </w:pPr>
          </w:p>
        </w:tc>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registration of the Old Notes under the U.S. federal securities laws. If you do not participate in the</w:t>
            </w:r>
          </w:p>
        </w:tc>
      </w:tr>
      <w:tr>
        <w:trPr>
          <w:trHeight w:val="214"/>
        </w:trPr>
        <w:tc>
          <w:tcPr>
            <w:tcW w:w="3500" w:type="dxa"/>
            <w:vAlign w:val="bottom"/>
          </w:tcPr>
          <w:p>
            <w:pPr>
              <w:spacing w:after="0"/>
              <w:rPr>
                <w:sz w:val="18"/>
                <w:szCs w:val="18"/>
                <w:color w:val="auto"/>
              </w:rPr>
            </w:pPr>
          </w:p>
        </w:tc>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exchange offer, the liquidity of your Old Notes could be adversely affected. See the section</w:t>
            </w:r>
          </w:p>
        </w:tc>
      </w:tr>
      <w:tr>
        <w:trPr>
          <w:trHeight w:val="236"/>
        </w:trPr>
        <w:tc>
          <w:tcPr>
            <w:tcW w:w="3500" w:type="dxa"/>
            <w:vAlign w:val="bottom"/>
          </w:tcPr>
          <w:p>
            <w:pPr>
              <w:spacing w:after="0"/>
              <w:rPr>
                <w:sz w:val="20"/>
                <w:szCs w:val="20"/>
                <w:color w:val="auto"/>
              </w:rPr>
            </w:pPr>
          </w:p>
        </w:tc>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entitled “</w:t>
            </w:r>
            <w:r>
              <w:rPr>
                <w:rFonts w:ascii="Times New Roman" w:cs="Times New Roman" w:eastAsia="Times New Roman" w:hAnsi="Times New Roman"/>
                <w:sz w:val="18"/>
                <w:szCs w:val="18"/>
                <w:i w:val="1"/>
                <w:iCs w:val="1"/>
                <w:color w:val="auto"/>
              </w:rPr>
              <w:t>The Exchange Offer — Consequences of Failure to Exchange</w:t>
            </w:r>
            <w:r>
              <w:rPr>
                <w:rFonts w:ascii="Times New Roman" w:cs="Times New Roman" w:eastAsia="Times New Roman" w:hAnsi="Times New Roman"/>
                <w:sz w:val="18"/>
                <w:szCs w:val="18"/>
                <w:color w:val="auto"/>
              </w:rPr>
              <w:t>” beginning on page 29.</w:t>
            </w:r>
          </w:p>
        </w:tc>
      </w:tr>
      <w:tr>
        <w:trPr>
          <w:trHeight w:val="414"/>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 will not receive any cash proceeds from the exchange of Old Notes for New Notes as a result</w:t>
            </w:r>
          </w:p>
        </w:tc>
      </w:tr>
      <w:tr>
        <w:trPr>
          <w:trHeight w:val="234"/>
        </w:trPr>
        <w:tc>
          <w:tcPr>
            <w:tcW w:w="3500" w:type="dxa"/>
            <w:vAlign w:val="bottom"/>
          </w:tcPr>
          <w:p>
            <w:pPr>
              <w:spacing w:after="0"/>
              <w:rPr>
                <w:sz w:val="20"/>
                <w:szCs w:val="20"/>
                <w:color w:val="auto"/>
              </w:rPr>
            </w:pPr>
          </w:p>
        </w:tc>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of the exchange offer.</w:t>
            </w:r>
          </w:p>
        </w:tc>
      </w:tr>
      <w:tr>
        <w:trPr>
          <w:trHeight w:val="414"/>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Cancellation of Exchanged Old Notes</w:t>
            </w:r>
          </w:p>
        </w:tc>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Old Notes that are surrendered in exchange for New Notes will be retired and cancelled by us</w:t>
            </w:r>
          </w:p>
        </w:tc>
      </w:tr>
      <w:tr>
        <w:trPr>
          <w:trHeight w:val="216"/>
        </w:trPr>
        <w:tc>
          <w:tcPr>
            <w:tcW w:w="3500" w:type="dxa"/>
            <w:vAlign w:val="bottom"/>
          </w:tcPr>
          <w:p>
            <w:pPr>
              <w:spacing w:after="0"/>
              <w:rPr>
                <w:sz w:val="18"/>
                <w:szCs w:val="18"/>
                <w:color w:val="auto"/>
              </w:rPr>
            </w:pPr>
          </w:p>
        </w:tc>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upon receipt and will not be reissued. Accordingly, the issuance of the New Notes under this</w:t>
            </w:r>
          </w:p>
        </w:tc>
      </w:tr>
      <w:tr>
        <w:trPr>
          <w:trHeight w:val="234"/>
        </w:trPr>
        <w:tc>
          <w:tcPr>
            <w:tcW w:w="3500" w:type="dxa"/>
            <w:vAlign w:val="bottom"/>
          </w:tcPr>
          <w:p>
            <w:pPr>
              <w:spacing w:after="0"/>
              <w:rPr>
                <w:sz w:val="20"/>
                <w:szCs w:val="20"/>
                <w:color w:val="auto"/>
              </w:rPr>
            </w:pPr>
          </w:p>
        </w:tc>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exchange offer will not result in any increase in our outstanding indebtedness.</w:t>
            </w:r>
          </w:p>
        </w:tc>
      </w:tr>
      <w:tr>
        <w:trPr>
          <w:trHeight w:val="412"/>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Exchange Agent</w:t>
            </w:r>
          </w:p>
        </w:tc>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UMB Bank, N.A. is serving as the exchange agent for this exchange offer. See the section entitled</w:t>
            </w:r>
          </w:p>
        </w:tc>
      </w:tr>
      <w:tr>
        <w:trPr>
          <w:trHeight w:val="218"/>
        </w:trPr>
        <w:tc>
          <w:tcPr>
            <w:tcW w:w="3500" w:type="dxa"/>
            <w:vAlign w:val="bottom"/>
          </w:tcPr>
          <w:p>
            <w:pPr>
              <w:spacing w:after="0"/>
              <w:rPr>
                <w:sz w:val="18"/>
                <w:szCs w:val="18"/>
                <w:color w:val="auto"/>
              </w:rPr>
            </w:pPr>
          </w:p>
        </w:tc>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Exchange Offer — Exchange Agent</w:t>
            </w:r>
            <w:r>
              <w:rPr>
                <w:rFonts w:ascii="Times New Roman" w:cs="Times New Roman" w:eastAsia="Times New Roman" w:hAnsi="Times New Roman"/>
                <w:sz w:val="18"/>
                <w:szCs w:val="18"/>
                <w:color w:val="auto"/>
              </w:rPr>
              <w:t>” beginning on page 28, for the address and telephone</w:t>
            </w:r>
          </w:p>
        </w:tc>
      </w:tr>
      <w:tr>
        <w:trPr>
          <w:trHeight w:val="234"/>
        </w:trPr>
        <w:tc>
          <w:tcPr>
            <w:tcW w:w="3500" w:type="dxa"/>
            <w:vAlign w:val="bottom"/>
          </w:tcPr>
          <w:p>
            <w:pPr>
              <w:spacing w:after="0"/>
              <w:rPr>
                <w:sz w:val="20"/>
                <w:szCs w:val="20"/>
                <w:color w:val="auto"/>
              </w:rPr>
            </w:pPr>
          </w:p>
        </w:tc>
        <w:tc>
          <w:tcPr>
            <w:tcW w:w="7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number of the exchange agent.</w:t>
            </w:r>
          </w:p>
        </w:tc>
      </w:tr>
      <w:tr>
        <w:trPr>
          <w:trHeight w:val="253"/>
        </w:trPr>
        <w:tc>
          <w:tcPr>
            <w:tcW w:w="3500" w:type="dxa"/>
            <w:vAlign w:val="bottom"/>
            <w:tcBorders>
              <w:bottom w:val="single" w:sz="8" w:color="auto"/>
            </w:tcBorders>
          </w:tcPr>
          <w:p>
            <w:pPr>
              <w:spacing w:after="0"/>
              <w:rPr>
                <w:sz w:val="22"/>
                <w:szCs w:val="22"/>
                <w:color w:val="auto"/>
              </w:rPr>
            </w:pPr>
          </w:p>
        </w:tc>
        <w:tc>
          <w:tcPr>
            <w:tcW w:w="7740" w:type="dxa"/>
            <w:vAlign w:val="bottom"/>
            <w:tcBorders>
              <w:bottom w:val="single" w:sz="8" w:color="auto"/>
            </w:tcBorders>
          </w:tcPr>
          <w:p>
            <w:pPr>
              <w:spacing w:after="0"/>
              <w:rPr>
                <w:sz w:val="22"/>
                <w:szCs w:val="22"/>
                <w:color w:val="auto"/>
              </w:rPr>
            </w:pPr>
          </w:p>
        </w:tc>
      </w:tr>
      <w:tr>
        <w:trPr>
          <w:trHeight w:val="429"/>
        </w:trPr>
        <w:tc>
          <w:tcPr>
            <w:tcW w:w="350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40"/>
          </w:cols>
          <w:pgMar w:left="320" w:top="94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236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6130" cy="6236335"/>
                    </a:xfrm>
                    <a:prstGeom prst="rect">
                      <a:avLst/>
                    </a:prstGeom>
                    <a:noFill/>
                  </pic:spPr>
                </pic:pic>
              </a:graphicData>
            </a:graphic>
          </wp:anchor>
        </w:drawing>
        <w:t>Summary of the New Notes</w:t>
      </w:r>
    </w:p>
    <w:p>
      <w:pPr>
        <w:spacing w:after="0" w:line="229" w:lineRule="exact"/>
        <w:rPr>
          <w:sz w:val="20"/>
          <w:szCs w:val="20"/>
          <w:color w:val="auto"/>
        </w:rPr>
      </w:pPr>
    </w:p>
    <w:p>
      <w:pPr>
        <w:ind w:left="140" w:right="160" w:firstLine="648"/>
        <w:spacing w:after="0" w:line="254" w:lineRule="auto"/>
        <w:rPr>
          <w:sz w:val="20"/>
          <w:szCs w:val="20"/>
          <w:color w:val="auto"/>
        </w:rPr>
      </w:pPr>
      <w:r>
        <w:rPr>
          <w:rFonts w:ascii="Times New Roman" w:cs="Times New Roman" w:eastAsia="Times New Roman" w:hAnsi="Times New Roman"/>
          <w:sz w:val="18"/>
          <w:szCs w:val="18"/>
          <w:color w:val="auto"/>
        </w:rPr>
        <w:t>The following provides a summary of certain terms of the New Notes. The New Notes have terms that are identical in all material respects to the terms of the Old Notes, except that the New Notes are registered with the SEC under the Securities Act and, as a result, will not bear any legend restricting their transfer, will bear a different CUSIP number from the Old Notes, and are generally not subject to transfer restrictions. Holders of the New Notes are not entitled to registration rights under the registration rights agreements and do not have the right to additional interest under the circumstances described in the registration rights agreements relating to our fulfillment of our registration obligations. The New Notes will evidence the same debt as the Old Notes and will be governed by the same indenture under which the Old Notes were issued. Please refer to the section entitled “</w:t>
      </w:r>
      <w:r>
        <w:rPr>
          <w:rFonts w:ascii="Times New Roman" w:cs="Times New Roman" w:eastAsia="Times New Roman" w:hAnsi="Times New Roman"/>
          <w:sz w:val="18"/>
          <w:szCs w:val="18"/>
          <w:i w:val="1"/>
          <w:iCs w:val="1"/>
          <w:color w:val="auto"/>
        </w:rPr>
        <w:t>Description of the Notes</w:t>
      </w:r>
      <w:r>
        <w:rPr>
          <w:rFonts w:ascii="Times New Roman" w:cs="Times New Roman" w:eastAsia="Times New Roman" w:hAnsi="Times New Roman"/>
          <w:sz w:val="18"/>
          <w:szCs w:val="18"/>
          <w:color w:val="auto"/>
        </w:rPr>
        <w:t>” beginning on page 31 for a more complete description of the terms of the New Notes. References in this prospectus to the “notes” include both the Old Notes and the New Notes unless otherwise specified or the context otherwise requires.</w:t>
      </w:r>
    </w:p>
    <w:p>
      <w:pPr>
        <w:sectPr>
          <w:pgSz w:w="11900" w:h="16838" w:orient="portrait"/>
          <w:cols w:equalWidth="0" w:num="1">
            <w:col w:w="11240"/>
          </w:cols>
          <w:pgMar w:left="320" w:top="941" w:right="339" w:bottom="1440" w:gutter="0" w:footer="0" w:header="0"/>
        </w:sectPr>
      </w:pPr>
    </w:p>
    <w:p>
      <w:pPr>
        <w:spacing w:after="0" w:line="1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Issuer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Hanover Bancorp, Inc.</w:t>
      </w:r>
    </w:p>
    <w:p>
      <w:pPr>
        <w:spacing w:after="0" w:line="200" w:lineRule="exact"/>
        <w:rPr>
          <w:sz w:val="20"/>
          <w:szCs w:val="20"/>
          <w:color w:val="auto"/>
        </w:rPr>
      </w:pPr>
    </w:p>
    <w:p>
      <w:pPr>
        <w:sectPr>
          <w:pgSz w:w="11900" w:h="16838" w:orient="portrait"/>
          <w:cols w:equalWidth="0" w:num="2">
            <w:col w:w="3260" w:space="720"/>
            <w:col w:w="7260"/>
          </w:cols>
          <w:pgMar w:left="320" w:top="941" w:right="339" w:bottom="1440" w:gutter="0" w:footer="0" w:header="0"/>
          <w:type w:val="continuous"/>
        </w:sectPr>
      </w:pP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Securities Offered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7.25% Fixed-to-Floating Rate Subordinated Notes due 2036.</w:t>
      </w:r>
    </w:p>
    <w:p>
      <w:pPr>
        <w:spacing w:after="0" w:line="200" w:lineRule="exact"/>
        <w:rPr>
          <w:sz w:val="20"/>
          <w:szCs w:val="20"/>
          <w:color w:val="auto"/>
        </w:rPr>
      </w:pPr>
    </w:p>
    <w:p>
      <w:pPr>
        <w:sectPr>
          <w:pgSz w:w="11900" w:h="16838" w:orient="portrait"/>
          <w:cols w:equalWidth="0" w:num="2">
            <w:col w:w="3260" w:space="720"/>
            <w:col w:w="7260"/>
          </w:cols>
          <w:pgMar w:left="320" w:top="941" w:right="339" w:bottom="1440" w:gutter="0" w:footer="0" w:header="0"/>
          <w:type w:val="continuous"/>
        </w:sectPr>
      </w:pPr>
    </w:p>
    <w:p>
      <w:pPr>
        <w:spacing w:after="0" w:line="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Aggregate Principal Amount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$35,000,000.</w:t>
      </w:r>
    </w:p>
    <w:p>
      <w:pPr>
        <w:spacing w:after="0" w:line="200" w:lineRule="exact"/>
        <w:rPr>
          <w:sz w:val="20"/>
          <w:szCs w:val="20"/>
          <w:color w:val="auto"/>
        </w:rPr>
      </w:pPr>
    </w:p>
    <w:p>
      <w:pPr>
        <w:sectPr>
          <w:pgSz w:w="11900" w:h="16838" w:orient="portrait"/>
          <w:cols w:equalWidth="0" w:num="2">
            <w:col w:w="3260" w:space="720"/>
            <w:col w:w="7260"/>
          </w:cols>
          <w:pgMar w:left="320" w:top="941" w:right="339" w:bottom="1440" w:gutter="0" w:footer="0" w:header="0"/>
          <w:type w:val="continuous"/>
        </w:sectPr>
      </w:pP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Maturity 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2036, unless previously redeemed.</w:t>
      </w:r>
    </w:p>
    <w:p>
      <w:pPr>
        <w:spacing w:after="0" w:line="200" w:lineRule="exact"/>
        <w:rPr>
          <w:sz w:val="20"/>
          <w:szCs w:val="20"/>
          <w:color w:val="auto"/>
        </w:rPr>
      </w:pPr>
    </w:p>
    <w:p>
      <w:pPr>
        <w:sectPr>
          <w:pgSz w:w="11900" w:h="16838" w:orient="portrait"/>
          <w:cols w:equalWidth="0" w:num="2">
            <w:col w:w="3260" w:space="720"/>
            <w:col w:w="7260"/>
          </w:cols>
          <w:pgMar w:left="320" w:top="941" w:right="339" w:bottom="1440" w:gutter="0" w:footer="0" w:header="0"/>
          <w:type w:val="continuous"/>
        </w:sectPr>
      </w:pP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Form and Denomination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The New Notes will be issued only in fully registered form without interest coupons, in minimum denominations of $100,000 and any integral multiple of $1,000 in excess thereof. Unless otherwise required for institutional accredited investors, the New Notes will be evidenced by a global note deposited with the trustee for the New Notes, as custodian for DTC, and transfers of beneficial interests will be facilitated only through records maintained by DTC and its participants.</w:t>
      </w:r>
    </w:p>
    <w:p>
      <w:pPr>
        <w:spacing w:after="0" w:line="164" w:lineRule="exact"/>
        <w:rPr>
          <w:sz w:val="20"/>
          <w:szCs w:val="20"/>
          <w:color w:val="auto"/>
        </w:rPr>
      </w:pPr>
    </w:p>
    <w:p>
      <w:pPr>
        <w:sectPr>
          <w:pgSz w:w="11900" w:h="16838" w:orient="portrait"/>
          <w:cols w:equalWidth="0" w:num="2">
            <w:col w:w="3260" w:space="720"/>
            <w:col w:w="7260"/>
          </w:cols>
          <w:pgMar w:left="320" w:top="941" w:right="339" w:bottom="1440" w:gutter="0" w:footer="0" w:header="0"/>
          <w:type w:val="continuous"/>
        </w:sectPr>
      </w:pPr>
    </w:p>
    <w:p>
      <w:pPr>
        <w:ind w:left="140"/>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Interest Rate and Interest Rate Payment Dates</w:t>
      </w:r>
      <w:r>
        <w:rPr>
          <w:sz w:val="20"/>
          <w:szCs w:val="20"/>
          <w:color w:val="auto"/>
        </w:rPr>
        <w:tab/>
      </w:r>
      <w:r>
        <w:rPr>
          <w:rFonts w:ascii="Times New Roman" w:cs="Times New Roman" w:eastAsia="Times New Roman" w:hAnsi="Times New Roman"/>
          <w:sz w:val="18"/>
          <w:szCs w:val="18"/>
          <w:color w:val="auto"/>
        </w:rPr>
        <w:t>From and including March 12, 2026 to, but excluding, March 15, 2031 or any earlier redemption</w:t>
      </w:r>
    </w:p>
    <w:p>
      <w:pPr>
        <w:sectPr>
          <w:pgSz w:w="11900" w:h="16838" w:orient="portrait"/>
          <w:cols w:equalWidth="0" w:num="1">
            <w:col w:w="11240"/>
          </w:cols>
          <w:pgMar w:left="320" w:top="941" w:right="339" w:bottom="1440" w:gutter="0" w:footer="0" w:header="0"/>
          <w:type w:val="continuous"/>
        </w:sectPr>
      </w:pP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During Fixed-Rate Period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date, the New Notes will bear interest at a fixed rate equal to 7.25% per year, payable semi-annually in arrears on March 15 and September 15 of each year, commencing on September 15, 2026.</w:t>
      </w:r>
    </w:p>
    <w:p>
      <w:pPr>
        <w:spacing w:after="0" w:line="182" w:lineRule="exact"/>
        <w:rPr>
          <w:sz w:val="20"/>
          <w:szCs w:val="20"/>
          <w:color w:val="auto"/>
        </w:rPr>
      </w:pPr>
    </w:p>
    <w:p>
      <w:pPr>
        <w:sectPr>
          <w:pgSz w:w="11900" w:h="16838" w:orient="portrait"/>
          <w:cols w:equalWidth="0" w:num="2">
            <w:col w:w="3260" w:space="720"/>
            <w:col w:w="7260"/>
          </w:cols>
          <w:pgMar w:left="320" w:top="941" w:right="339" w:bottom="1440" w:gutter="0" w:footer="0" w:header="0"/>
          <w:type w:val="continuous"/>
        </w:sectPr>
      </w:pPr>
    </w:p>
    <w:p>
      <w:pPr>
        <w:ind w:left="140"/>
        <w:spacing w:after="0"/>
        <w:tabs>
          <w:tab w:leader="none" w:pos="3960" w:val="left"/>
        </w:tabs>
        <w:rPr>
          <w:sz w:val="20"/>
          <w:szCs w:val="20"/>
          <w:color w:val="auto"/>
        </w:rPr>
      </w:pPr>
      <w:r>
        <w:rPr>
          <w:rFonts w:ascii="Times New Roman" w:cs="Times New Roman" w:eastAsia="Times New Roman" w:hAnsi="Times New Roman"/>
          <w:sz w:val="18"/>
          <w:szCs w:val="18"/>
          <w:b w:val="1"/>
          <w:bCs w:val="1"/>
          <w:color w:val="auto"/>
        </w:rPr>
        <w:t>Interest Rate and Interest Rate Payment Dates</w:t>
      </w:r>
      <w:r>
        <w:rPr>
          <w:sz w:val="20"/>
          <w:szCs w:val="20"/>
          <w:color w:val="auto"/>
        </w:rPr>
        <w:tab/>
      </w:r>
      <w:r>
        <w:rPr>
          <w:rFonts w:ascii="Times New Roman" w:cs="Times New Roman" w:eastAsia="Times New Roman" w:hAnsi="Times New Roman"/>
          <w:sz w:val="17"/>
          <w:szCs w:val="17"/>
          <w:color w:val="auto"/>
        </w:rPr>
        <w:t>From, and including, March 15, 2031 to, but excluding, March 15, 2036, unless earlier redeemed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During Floating-Rate Period</w:t>
            </w:r>
          </w:p>
        </w:tc>
        <w:tc>
          <w:tcPr>
            <w:tcW w:w="8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(such period, the “floating rate period”), the New Notes will bear an interest at a floating rate, reset</w:t>
            </w:r>
          </w:p>
        </w:tc>
      </w:tr>
      <w:tr>
        <w:trPr>
          <w:trHeight w:val="216"/>
        </w:trPr>
        <w:tc>
          <w:tcPr>
            <w:tcW w:w="3160" w:type="dxa"/>
            <w:vAlign w:val="bottom"/>
          </w:tcPr>
          <w:p>
            <w:pPr>
              <w:spacing w:after="0"/>
              <w:rPr>
                <w:sz w:val="18"/>
                <w:szCs w:val="18"/>
                <w:color w:val="auto"/>
              </w:rPr>
            </w:pPr>
          </w:p>
        </w:tc>
        <w:tc>
          <w:tcPr>
            <w:tcW w:w="8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quarterly, equal to the benchmark rate (which is expected to be the then-current Three-Month</w:t>
            </w:r>
          </w:p>
        </w:tc>
      </w:tr>
      <w:tr>
        <w:trPr>
          <w:trHeight w:val="216"/>
        </w:trPr>
        <w:tc>
          <w:tcPr>
            <w:tcW w:w="3160" w:type="dxa"/>
            <w:vAlign w:val="bottom"/>
          </w:tcPr>
          <w:p>
            <w:pPr>
              <w:spacing w:after="0"/>
              <w:rPr>
                <w:sz w:val="18"/>
                <w:szCs w:val="18"/>
                <w:color w:val="auto"/>
              </w:rPr>
            </w:pPr>
          </w:p>
        </w:tc>
        <w:tc>
          <w:tcPr>
            <w:tcW w:w="8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Term SOFR), plus 386 basis points, or such other rate as determined pursuant to the indenture,</w:t>
            </w:r>
          </w:p>
        </w:tc>
      </w:tr>
      <w:tr>
        <w:trPr>
          <w:trHeight w:val="216"/>
        </w:trPr>
        <w:tc>
          <w:tcPr>
            <w:tcW w:w="3160" w:type="dxa"/>
            <w:vAlign w:val="bottom"/>
          </w:tcPr>
          <w:p>
            <w:pPr>
              <w:spacing w:after="0"/>
              <w:rPr>
                <w:sz w:val="18"/>
                <w:szCs w:val="18"/>
                <w:color w:val="auto"/>
              </w:rPr>
            </w:pPr>
          </w:p>
        </w:tc>
        <w:tc>
          <w:tcPr>
            <w:tcW w:w="8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payable quarterly in arrears on March 15, June 15, September 15, and December 15 of each year</w:t>
            </w:r>
          </w:p>
        </w:tc>
      </w:tr>
      <w:tr>
        <w:trPr>
          <w:trHeight w:val="216"/>
        </w:trPr>
        <w:tc>
          <w:tcPr>
            <w:tcW w:w="3160" w:type="dxa"/>
            <w:vAlign w:val="bottom"/>
          </w:tcPr>
          <w:p>
            <w:pPr>
              <w:spacing w:after="0"/>
              <w:rPr>
                <w:sz w:val="18"/>
                <w:szCs w:val="18"/>
                <w:color w:val="auto"/>
              </w:rPr>
            </w:pPr>
          </w:p>
        </w:tc>
        <w:tc>
          <w:tcPr>
            <w:tcW w:w="8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through March 15, 2036 or earlier redemption date. If Three-Month Term SOFR (or other</w:t>
            </w:r>
          </w:p>
        </w:tc>
      </w:tr>
      <w:tr>
        <w:trPr>
          <w:trHeight w:val="216"/>
        </w:trPr>
        <w:tc>
          <w:tcPr>
            <w:tcW w:w="3160" w:type="dxa"/>
            <w:vAlign w:val="bottom"/>
          </w:tcPr>
          <w:p>
            <w:pPr>
              <w:spacing w:after="0"/>
              <w:rPr>
                <w:sz w:val="18"/>
                <w:szCs w:val="18"/>
                <w:color w:val="auto"/>
              </w:rPr>
            </w:pPr>
          </w:p>
        </w:tc>
        <w:tc>
          <w:tcPr>
            <w:tcW w:w="8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applicable floating interest rate) is less than zero, then Three-Month Term SOFR (or other such</w:t>
            </w:r>
          </w:p>
        </w:tc>
      </w:tr>
      <w:tr>
        <w:trPr>
          <w:trHeight w:val="234"/>
        </w:trPr>
        <w:tc>
          <w:tcPr>
            <w:tcW w:w="3160" w:type="dxa"/>
            <w:vAlign w:val="bottom"/>
          </w:tcPr>
          <w:p>
            <w:pPr>
              <w:spacing w:after="0"/>
              <w:rPr>
                <w:sz w:val="20"/>
                <w:szCs w:val="20"/>
                <w:color w:val="auto"/>
              </w:rPr>
            </w:pPr>
          </w:p>
        </w:tc>
        <w:tc>
          <w:tcPr>
            <w:tcW w:w="8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applicable floating interest rate) shall be deemed to be zero.</w:t>
            </w:r>
          </w:p>
        </w:tc>
      </w:tr>
      <w:tr>
        <w:trPr>
          <w:trHeight w:val="414"/>
        </w:trPr>
        <w:tc>
          <w:tcPr>
            <w:tcW w:w="3160" w:type="dxa"/>
            <w:vAlign w:val="bottom"/>
          </w:tcPr>
          <w:p>
            <w:pPr>
              <w:spacing w:after="0"/>
              <w:rPr>
                <w:sz w:val="24"/>
                <w:szCs w:val="24"/>
                <w:color w:val="auto"/>
              </w:rPr>
            </w:pPr>
          </w:p>
        </w:tc>
        <w:tc>
          <w:tcPr>
            <w:tcW w:w="8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For each interest period during the floating rate period, “Three-Month Term SOFR” means the rate</w:t>
            </w:r>
          </w:p>
        </w:tc>
      </w:tr>
      <w:tr>
        <w:trPr>
          <w:trHeight w:val="216"/>
        </w:trPr>
        <w:tc>
          <w:tcPr>
            <w:tcW w:w="3160" w:type="dxa"/>
            <w:vAlign w:val="bottom"/>
          </w:tcPr>
          <w:p>
            <w:pPr>
              <w:spacing w:after="0"/>
              <w:rPr>
                <w:sz w:val="18"/>
                <w:szCs w:val="18"/>
                <w:color w:val="auto"/>
              </w:rPr>
            </w:pPr>
          </w:p>
        </w:tc>
        <w:tc>
          <w:tcPr>
            <w:tcW w:w="8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for Term SOFR for a tenor of three months that is published by the Term SOFR Administrator at</w:t>
            </w:r>
          </w:p>
        </w:tc>
      </w:tr>
      <w:tr>
        <w:trPr>
          <w:trHeight w:val="216"/>
        </w:trPr>
        <w:tc>
          <w:tcPr>
            <w:tcW w:w="3160" w:type="dxa"/>
            <w:vAlign w:val="bottom"/>
          </w:tcPr>
          <w:p>
            <w:pPr>
              <w:spacing w:after="0"/>
              <w:rPr>
                <w:sz w:val="18"/>
                <w:szCs w:val="18"/>
                <w:color w:val="auto"/>
              </w:rPr>
            </w:pPr>
          </w:p>
        </w:tc>
        <w:tc>
          <w:tcPr>
            <w:tcW w:w="8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Reference Time for any Floating Rate Interest Period, as determined by the calculation agent</w:t>
            </w:r>
          </w:p>
        </w:tc>
      </w:tr>
      <w:tr>
        <w:trPr>
          <w:trHeight w:val="234"/>
        </w:trPr>
        <w:tc>
          <w:tcPr>
            <w:tcW w:w="3160" w:type="dxa"/>
            <w:vAlign w:val="bottom"/>
          </w:tcPr>
          <w:p>
            <w:pPr>
              <w:spacing w:after="0"/>
              <w:rPr>
                <w:sz w:val="20"/>
                <w:szCs w:val="20"/>
                <w:color w:val="auto"/>
              </w:rPr>
            </w:pPr>
          </w:p>
        </w:tc>
        <w:tc>
          <w:tcPr>
            <w:tcW w:w="8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after giving effect to the Three-Month Term SOFR Conventions.</w:t>
            </w:r>
          </w:p>
        </w:tc>
      </w:tr>
      <w:tr>
        <w:trPr>
          <w:trHeight w:val="253"/>
        </w:trPr>
        <w:tc>
          <w:tcPr>
            <w:tcW w:w="3160" w:type="dxa"/>
            <w:vAlign w:val="bottom"/>
            <w:tcBorders>
              <w:bottom w:val="single" w:sz="8" w:color="auto"/>
            </w:tcBorders>
          </w:tcPr>
          <w:p>
            <w:pPr>
              <w:spacing w:after="0"/>
              <w:rPr>
                <w:sz w:val="22"/>
                <w:szCs w:val="22"/>
                <w:color w:val="auto"/>
              </w:rPr>
            </w:pPr>
          </w:p>
        </w:tc>
        <w:tc>
          <w:tcPr>
            <w:tcW w:w="8080" w:type="dxa"/>
            <w:vAlign w:val="bottom"/>
            <w:tcBorders>
              <w:bottom w:val="single" w:sz="8" w:color="auto"/>
            </w:tcBorders>
          </w:tcPr>
          <w:p>
            <w:pPr>
              <w:spacing w:after="0"/>
              <w:rPr>
                <w:sz w:val="22"/>
                <w:szCs w:val="22"/>
                <w:color w:val="auto"/>
              </w:rPr>
            </w:pPr>
          </w:p>
        </w:tc>
      </w:tr>
      <w:tr>
        <w:trPr>
          <w:trHeight w:val="429"/>
        </w:trPr>
        <w:tc>
          <w:tcPr>
            <w:tcW w:w="31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941" w:right="339" w:bottom="1440" w:gutter="0" w:footer="0" w:header="0"/>
          <w:type w:val="continuous"/>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57"/>
        </w:trPr>
        <w:tc>
          <w:tcPr>
            <w:tcW w:w="3000" w:type="dxa"/>
            <w:vAlign w:val="bottom"/>
            <w:tcBorders>
              <w:top w:val="single" w:sz="8" w:color="auto"/>
              <w:left w:val="single" w:sz="8" w:color="auto"/>
            </w:tcBorders>
          </w:tcPr>
          <w:p>
            <w:pPr>
              <w:spacing w:after="0"/>
              <w:rPr>
                <w:sz w:val="24"/>
                <w:szCs w:val="24"/>
                <w:color w:val="auto"/>
              </w:rPr>
            </w:pPr>
          </w:p>
        </w:tc>
        <w:tc>
          <w:tcPr>
            <w:tcW w:w="8240" w:type="dxa"/>
            <w:vAlign w:val="bottom"/>
            <w:tcBorders>
              <w:top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Description of the Notes — Principal, Maturity and Interest</w:t>
            </w:r>
            <w:r>
              <w:rPr>
                <w:rFonts w:ascii="Times New Roman" w:cs="Times New Roman" w:eastAsia="Times New Roman" w:hAnsi="Times New Roman"/>
                <w:sz w:val="18"/>
                <w:szCs w:val="18"/>
                <w:color w:val="auto"/>
              </w:rPr>
              <w:t>” beginning</w:t>
            </w:r>
          </w:p>
        </w:tc>
      </w:tr>
      <w:tr>
        <w:trPr>
          <w:trHeight w:val="216"/>
        </w:trPr>
        <w:tc>
          <w:tcPr>
            <w:tcW w:w="300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on page 31 for the definition of Three-Month Term SOFR, a description of the method of its</w:t>
            </w:r>
          </w:p>
        </w:tc>
      </w:tr>
      <w:tr>
        <w:trPr>
          <w:trHeight w:val="216"/>
        </w:trPr>
        <w:tc>
          <w:tcPr>
            <w:tcW w:w="300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determination, and the alternative methods for determining the applicable floating interest rate for</w:t>
            </w:r>
          </w:p>
        </w:tc>
      </w:tr>
      <w:tr>
        <w:trPr>
          <w:trHeight w:val="216"/>
        </w:trPr>
        <w:tc>
          <w:tcPr>
            <w:tcW w:w="300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notes to the extent that Three-Month Term SOFR is discontinued, is no longer quoted, or is</w:t>
            </w:r>
          </w:p>
        </w:tc>
      </w:tr>
      <w:tr>
        <w:trPr>
          <w:trHeight w:val="234"/>
        </w:trPr>
        <w:tc>
          <w:tcPr>
            <w:tcW w:w="300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found by the regulatory supervisor of the administrator of the rate to be no longer representative.</w:t>
            </w:r>
          </w:p>
        </w:tc>
      </w:tr>
      <w:tr>
        <w:trPr>
          <w:trHeight w:val="441"/>
        </w:trPr>
        <w:tc>
          <w:tcPr>
            <w:tcW w:w="30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Day Count Convention</w:t>
            </w: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30-day month/360-day year to but excluding March 15, 2031, and thereafter, a 360-day year and</w:t>
            </w:r>
          </w:p>
        </w:tc>
      </w:tr>
      <w:tr>
        <w:trPr>
          <w:trHeight w:val="234"/>
        </w:trPr>
        <w:tc>
          <w:tcPr>
            <w:tcW w:w="300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number of days actually elapsed.</w:t>
            </w:r>
          </w:p>
        </w:tc>
      </w:tr>
      <w:tr>
        <w:trPr>
          <w:trHeight w:val="414"/>
        </w:trPr>
        <w:tc>
          <w:tcPr>
            <w:tcW w:w="30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Each interest payment will be made to the holders of record who held the New Notes at the close</w:t>
            </w:r>
          </w:p>
        </w:tc>
      </w:tr>
      <w:tr>
        <w:trPr>
          <w:trHeight w:val="234"/>
        </w:trPr>
        <w:tc>
          <w:tcPr>
            <w:tcW w:w="300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of business on the fifteenth calendar day prior to the applicable interest payment date.</w:t>
            </w:r>
          </w:p>
        </w:tc>
      </w:tr>
      <w:tr>
        <w:trPr>
          <w:trHeight w:val="432"/>
        </w:trPr>
        <w:tc>
          <w:tcPr>
            <w:tcW w:w="30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Subordination; Ranking</w:t>
            </w: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New Notes will be our general unsecured, subordinated obligations and:</w:t>
            </w:r>
          </w:p>
        </w:tc>
      </w:tr>
      <w:tr>
        <w:trPr>
          <w:trHeight w:val="427"/>
        </w:trPr>
        <w:tc>
          <w:tcPr>
            <w:tcW w:w="3000" w:type="dxa"/>
            <w:vAlign w:val="bottom"/>
            <w:tcBorders>
              <w:left w:val="single" w:sz="8" w:color="auto"/>
            </w:tcBorders>
          </w:tcPr>
          <w:p>
            <w:pPr>
              <w:spacing w:after="0"/>
              <w:rPr>
                <w:sz w:val="24"/>
                <w:szCs w:val="24"/>
                <w:color w:val="auto"/>
              </w:rPr>
            </w:pPr>
          </w:p>
        </w:tc>
        <w:tc>
          <w:tcPr>
            <w:tcW w:w="8240" w:type="dxa"/>
            <w:vAlign w:val="bottom"/>
            <w:tcBorders>
              <w:right w:val="single" w:sz="8" w:color="auto"/>
            </w:tcBorders>
          </w:tcPr>
          <w:p>
            <w:pPr>
              <w:ind w:left="130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will rank subordinate and junior in right of payment to all of our existing and future senior</w:t>
            </w:r>
          </w:p>
        </w:tc>
      </w:tr>
      <w:tr>
        <w:trPr>
          <w:trHeight w:val="234"/>
        </w:trPr>
        <w:tc>
          <w:tcPr>
            <w:tcW w:w="300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indebtedness (as defined herein);</w:t>
            </w:r>
          </w:p>
        </w:tc>
      </w:tr>
      <w:tr>
        <w:trPr>
          <w:trHeight w:val="427"/>
        </w:trPr>
        <w:tc>
          <w:tcPr>
            <w:tcW w:w="3000" w:type="dxa"/>
            <w:vAlign w:val="bottom"/>
            <w:tcBorders>
              <w:left w:val="single" w:sz="8" w:color="auto"/>
            </w:tcBorders>
          </w:tcPr>
          <w:p>
            <w:pPr>
              <w:spacing w:after="0"/>
              <w:rPr>
                <w:sz w:val="24"/>
                <w:szCs w:val="24"/>
                <w:color w:val="auto"/>
              </w:rPr>
            </w:pPr>
          </w:p>
        </w:tc>
        <w:tc>
          <w:tcPr>
            <w:tcW w:w="8240" w:type="dxa"/>
            <w:vAlign w:val="bottom"/>
            <w:tcBorders>
              <w:right w:val="single" w:sz="8" w:color="auto"/>
            </w:tcBorders>
          </w:tcPr>
          <w:p>
            <w:pPr>
              <w:ind w:left="130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will rank equally in right of payment with all of our existing and future unsecured</w:t>
            </w:r>
          </w:p>
        </w:tc>
      </w:tr>
      <w:tr>
        <w:trPr>
          <w:trHeight w:val="234"/>
        </w:trPr>
        <w:tc>
          <w:tcPr>
            <w:tcW w:w="300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subordinated indebtedness; and</w:t>
            </w:r>
          </w:p>
        </w:tc>
      </w:tr>
      <w:tr>
        <w:trPr>
          <w:trHeight w:val="427"/>
        </w:trPr>
        <w:tc>
          <w:tcPr>
            <w:tcW w:w="3000" w:type="dxa"/>
            <w:vAlign w:val="bottom"/>
            <w:tcBorders>
              <w:left w:val="single" w:sz="8" w:color="auto"/>
            </w:tcBorders>
          </w:tcPr>
          <w:p>
            <w:pPr>
              <w:spacing w:after="0"/>
              <w:rPr>
                <w:sz w:val="24"/>
                <w:szCs w:val="24"/>
                <w:color w:val="auto"/>
              </w:rPr>
            </w:pPr>
          </w:p>
        </w:tc>
        <w:tc>
          <w:tcPr>
            <w:tcW w:w="8240" w:type="dxa"/>
            <w:vAlign w:val="bottom"/>
            <w:tcBorders>
              <w:right w:val="single" w:sz="8" w:color="auto"/>
            </w:tcBorders>
          </w:tcPr>
          <w:p>
            <w:pPr>
              <w:ind w:left="130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will be effectively subordinated (for the reasons discussed below) to all of the existing and</w:t>
            </w:r>
          </w:p>
        </w:tc>
      </w:tr>
      <w:tr>
        <w:trPr>
          <w:trHeight w:val="216"/>
        </w:trPr>
        <w:tc>
          <w:tcPr>
            <w:tcW w:w="300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future indebtedness, liabilities and other obligations of the Bank and any future</w:t>
            </w:r>
          </w:p>
        </w:tc>
      </w:tr>
      <w:tr>
        <w:trPr>
          <w:trHeight w:val="216"/>
        </w:trPr>
        <w:tc>
          <w:tcPr>
            <w:tcW w:w="300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subsidiaries, including without limitation the Bank’s deposit liabilities and claims of other</w:t>
            </w:r>
          </w:p>
        </w:tc>
      </w:tr>
      <w:tr>
        <w:trPr>
          <w:trHeight w:val="234"/>
        </w:trPr>
        <w:tc>
          <w:tcPr>
            <w:tcW w:w="300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creditors of the Bank.</w:t>
            </w:r>
          </w:p>
        </w:tc>
      </w:tr>
      <w:tr>
        <w:trPr>
          <w:trHeight w:val="414"/>
        </w:trPr>
        <w:tc>
          <w:tcPr>
            <w:tcW w:w="30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may, at our option, redeem the New Notes (i) on any interest payment date on or after</w:t>
            </w:r>
          </w:p>
        </w:tc>
      </w:tr>
      <w:tr>
        <w:trPr>
          <w:trHeight w:val="216"/>
        </w:trPr>
        <w:tc>
          <w:tcPr>
            <w:tcW w:w="300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March 15, 2031, in whole or in part, without premium or penalty, and (ii) in whole but not in part,</w:t>
            </w:r>
          </w:p>
        </w:tc>
      </w:tr>
      <w:tr>
        <w:trPr>
          <w:trHeight w:val="214"/>
        </w:trPr>
        <w:tc>
          <w:tcPr>
            <w:tcW w:w="300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at any time upon the occurrence of a Tier 2 Capital Event, Tax Event or an Investment Company</w:t>
            </w:r>
          </w:p>
        </w:tc>
      </w:tr>
      <w:tr>
        <w:trPr>
          <w:trHeight w:val="218"/>
        </w:trPr>
        <w:tc>
          <w:tcPr>
            <w:tcW w:w="300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Event (each as described in the section entitled “</w:t>
            </w:r>
            <w:r>
              <w:rPr>
                <w:rFonts w:ascii="Times New Roman" w:cs="Times New Roman" w:eastAsia="Times New Roman" w:hAnsi="Times New Roman"/>
                <w:sz w:val="18"/>
                <w:szCs w:val="18"/>
                <w:i w:val="1"/>
                <w:iCs w:val="1"/>
                <w:color w:val="auto"/>
              </w:rPr>
              <w:t>Description of the Notes — Redemption</w:t>
            </w:r>
            <w:r>
              <w:rPr>
                <w:rFonts w:ascii="Times New Roman" w:cs="Times New Roman" w:eastAsia="Times New Roman" w:hAnsi="Times New Roman"/>
                <w:sz w:val="18"/>
                <w:szCs w:val="18"/>
                <w:color w:val="auto"/>
              </w:rPr>
              <w:t>”</w:t>
            </w:r>
          </w:p>
        </w:tc>
      </w:tr>
      <w:tr>
        <w:trPr>
          <w:trHeight w:val="234"/>
        </w:trPr>
        <w:tc>
          <w:tcPr>
            <w:tcW w:w="300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beginning on page 38).</w:t>
            </w:r>
          </w:p>
        </w:tc>
      </w:tr>
      <w:tr>
        <w:trPr>
          <w:trHeight w:val="414"/>
        </w:trPr>
        <w:tc>
          <w:tcPr>
            <w:tcW w:w="3000" w:type="dxa"/>
            <w:vAlign w:val="bottom"/>
            <w:tcBorders>
              <w:left w:val="single" w:sz="8" w:color="auto"/>
            </w:tcBorders>
          </w:tcPr>
          <w:p>
            <w:pPr>
              <w:spacing w:after="0"/>
              <w:rPr>
                <w:sz w:val="24"/>
                <w:szCs w:val="24"/>
                <w:color w:val="auto"/>
              </w:rPr>
            </w:pP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Any redemption of the New Notes will be subject to prior approval of the Board of Governors of</w:t>
            </w:r>
          </w:p>
        </w:tc>
      </w:tr>
      <w:tr>
        <w:trPr>
          <w:trHeight w:val="216"/>
        </w:trPr>
        <w:tc>
          <w:tcPr>
            <w:tcW w:w="300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Federal Reserve System (the “Federal Reserve”), to the extent such approval is then required.</w:t>
            </w:r>
          </w:p>
        </w:tc>
      </w:tr>
      <w:tr>
        <w:trPr>
          <w:trHeight w:val="216"/>
        </w:trPr>
        <w:tc>
          <w:tcPr>
            <w:tcW w:w="300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Any redemption of the New Notes will be at a redemption price equal to 100% of the principal</w:t>
            </w:r>
          </w:p>
        </w:tc>
      </w:tr>
      <w:tr>
        <w:trPr>
          <w:trHeight w:val="216"/>
        </w:trPr>
        <w:tc>
          <w:tcPr>
            <w:tcW w:w="300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amount of the New Notes being redeemed plus accrued and unpaid interest to, but excluding, the</w:t>
            </w:r>
          </w:p>
        </w:tc>
      </w:tr>
      <w:tr>
        <w:trPr>
          <w:trHeight w:val="234"/>
        </w:trPr>
        <w:tc>
          <w:tcPr>
            <w:tcW w:w="300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date of redemption.</w:t>
            </w:r>
          </w:p>
        </w:tc>
      </w:tr>
      <w:tr>
        <w:trPr>
          <w:trHeight w:val="414"/>
        </w:trPr>
        <w:tc>
          <w:tcPr>
            <w:tcW w:w="3000" w:type="dxa"/>
            <w:vAlign w:val="bottom"/>
            <w:tcBorders>
              <w:left w:val="single" w:sz="8" w:color="auto"/>
            </w:tcBorders>
          </w:tcPr>
          <w:p>
            <w:pPr>
              <w:spacing w:after="0"/>
              <w:rPr>
                <w:sz w:val="24"/>
                <w:szCs w:val="24"/>
                <w:color w:val="auto"/>
              </w:rPr>
            </w:pP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New Notes are not subject to repayment at the option of the holders and there is no sinking</w:t>
            </w:r>
          </w:p>
        </w:tc>
      </w:tr>
      <w:tr>
        <w:trPr>
          <w:trHeight w:val="234"/>
        </w:trPr>
        <w:tc>
          <w:tcPr>
            <w:tcW w:w="3000" w:type="dxa"/>
            <w:vAlign w:val="bottom"/>
            <w:tcBorders>
              <w:left w:val="single" w:sz="8" w:color="auto"/>
            </w:tcBorders>
          </w:tcPr>
          <w:p>
            <w:pPr>
              <w:spacing w:after="0"/>
              <w:rPr>
                <w:sz w:val="20"/>
                <w:szCs w:val="20"/>
                <w:color w:val="auto"/>
              </w:rPr>
            </w:pPr>
          </w:p>
        </w:tc>
        <w:tc>
          <w:tcPr>
            <w:tcW w:w="82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fund for the New Notes.</w:t>
            </w:r>
          </w:p>
        </w:tc>
      </w:tr>
      <w:tr>
        <w:trPr>
          <w:trHeight w:val="253"/>
        </w:trPr>
        <w:tc>
          <w:tcPr>
            <w:tcW w:w="3000" w:type="dxa"/>
            <w:vAlign w:val="bottom"/>
            <w:tcBorders>
              <w:left w:val="single" w:sz="8" w:color="auto"/>
              <w:bottom w:val="single" w:sz="8" w:color="auto"/>
            </w:tcBorders>
          </w:tcPr>
          <w:p>
            <w:pPr>
              <w:spacing w:after="0"/>
              <w:rPr>
                <w:sz w:val="22"/>
                <w:szCs w:val="22"/>
                <w:color w:val="auto"/>
              </w:rPr>
            </w:pPr>
          </w:p>
        </w:tc>
        <w:tc>
          <w:tcPr>
            <w:tcW w:w="8240" w:type="dxa"/>
            <w:vAlign w:val="bottom"/>
            <w:tcBorders>
              <w:bottom w:val="single" w:sz="8" w:color="auto"/>
              <w:right w:val="single" w:sz="8" w:color="auto"/>
            </w:tcBorders>
          </w:tcPr>
          <w:p>
            <w:pPr>
              <w:spacing w:after="0"/>
              <w:rPr>
                <w:sz w:val="22"/>
                <w:szCs w:val="22"/>
                <w:color w:val="auto"/>
              </w:rPr>
            </w:pPr>
          </w:p>
        </w:tc>
      </w:tr>
      <w:tr>
        <w:trPr>
          <w:trHeight w:val="429"/>
        </w:trPr>
        <w:tc>
          <w:tcPr>
            <w:tcW w:w="300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240"/>
          </w:cols>
          <w:pgMar w:left="320" w:top="683"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57"/>
        </w:trPr>
        <w:tc>
          <w:tcPr>
            <w:tcW w:w="328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No Limitations on Indebtedness</w:t>
            </w:r>
          </w:p>
        </w:tc>
        <w:tc>
          <w:tcPr>
            <w:tcW w:w="796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The terms of the New Notes do not limit the amount of additional indebtedness the Company, the</w:t>
            </w:r>
          </w:p>
        </w:tc>
      </w:tr>
      <w:tr>
        <w:trPr>
          <w:trHeight w:val="216"/>
        </w:trPr>
        <w:tc>
          <w:tcPr>
            <w:tcW w:w="328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Bank or any of our future subsidiaries may incur or the amount of other obligations ranking senior</w:t>
            </w:r>
          </w:p>
        </w:tc>
      </w:tr>
      <w:tr>
        <w:trPr>
          <w:trHeight w:val="234"/>
        </w:trPr>
        <w:tc>
          <w:tcPr>
            <w:tcW w:w="328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or equal to the New Notes that we may incur.</w:t>
            </w:r>
          </w:p>
        </w:tc>
      </w:tr>
      <w:tr>
        <w:trPr>
          <w:trHeight w:val="414"/>
        </w:trPr>
        <w:tc>
          <w:tcPr>
            <w:tcW w:w="32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Limited Indenture Covenants</w:t>
            </w: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The indenture governing the New Notes contains no financial covenants requiring us to achieve or</w:t>
            </w:r>
          </w:p>
        </w:tc>
      </w:tr>
      <w:tr>
        <w:trPr>
          <w:trHeight w:val="216"/>
        </w:trPr>
        <w:tc>
          <w:tcPr>
            <w:tcW w:w="328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maintain any minimum financial results relating to our financial position or results of operations or</w:t>
            </w:r>
          </w:p>
        </w:tc>
      </w:tr>
      <w:tr>
        <w:trPr>
          <w:trHeight w:val="216"/>
        </w:trPr>
        <w:tc>
          <w:tcPr>
            <w:tcW w:w="328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meet or exceed any financial ratios as a general matter or in order to incur additional indebtedness</w:t>
            </w:r>
          </w:p>
        </w:tc>
      </w:tr>
      <w:tr>
        <w:trPr>
          <w:trHeight w:val="234"/>
        </w:trPr>
        <w:tc>
          <w:tcPr>
            <w:tcW w:w="328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or obligations or to maintain any reserves.</w:t>
            </w:r>
          </w:p>
        </w:tc>
      </w:tr>
      <w:tr>
        <w:trPr>
          <w:trHeight w:val="414"/>
        </w:trPr>
        <w:tc>
          <w:tcPr>
            <w:tcW w:w="328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Moreover, neither the indenture nor the New Notes contain any covenants prohibiting us from, or</w:t>
            </w:r>
          </w:p>
        </w:tc>
      </w:tr>
      <w:tr>
        <w:trPr>
          <w:trHeight w:val="216"/>
        </w:trPr>
        <w:tc>
          <w:tcPr>
            <w:tcW w:w="328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limiting our right to, grant liens on our assets to secure our indebtedness or other obligations that</w:t>
            </w:r>
          </w:p>
        </w:tc>
      </w:tr>
      <w:tr>
        <w:trPr>
          <w:trHeight w:val="216"/>
        </w:trPr>
        <w:tc>
          <w:tcPr>
            <w:tcW w:w="328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are senior in right of payment to the New Notes, to repurchase our stock or other securities,</w:t>
            </w:r>
          </w:p>
        </w:tc>
      </w:tr>
      <w:tr>
        <w:trPr>
          <w:trHeight w:val="216"/>
        </w:trPr>
        <w:tc>
          <w:tcPr>
            <w:tcW w:w="328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including any of the New Notes, or to pay dividends or make other distributions to our</w:t>
            </w:r>
          </w:p>
        </w:tc>
      </w:tr>
      <w:tr>
        <w:trPr>
          <w:trHeight w:val="216"/>
        </w:trPr>
        <w:tc>
          <w:tcPr>
            <w:tcW w:w="328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shareholders (except, in the case of dividends or other distributions on junior securities, upon our</w:t>
            </w:r>
          </w:p>
        </w:tc>
      </w:tr>
      <w:tr>
        <w:trPr>
          <w:trHeight w:val="216"/>
        </w:trPr>
        <w:tc>
          <w:tcPr>
            <w:tcW w:w="328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failure to timely pay the principal of or interest on the New Notes, when the same becomes due</w:t>
            </w:r>
          </w:p>
        </w:tc>
      </w:tr>
      <w:tr>
        <w:trPr>
          <w:trHeight w:val="234"/>
        </w:trPr>
        <w:tc>
          <w:tcPr>
            <w:tcW w:w="328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and payable).</w:t>
            </w:r>
          </w:p>
        </w:tc>
      </w:tr>
      <w:tr>
        <w:trPr>
          <w:trHeight w:val="414"/>
        </w:trPr>
        <w:tc>
          <w:tcPr>
            <w:tcW w:w="32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Listing; No Public Market</w:t>
            </w: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The New Notes are a new issue of securities with no established trading market and we do not</w:t>
            </w:r>
          </w:p>
        </w:tc>
      </w:tr>
      <w:tr>
        <w:trPr>
          <w:trHeight w:val="216"/>
        </w:trPr>
        <w:tc>
          <w:tcPr>
            <w:tcW w:w="328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expect any public market to develop in the future for the New Notes. We do not intend to list the</w:t>
            </w:r>
          </w:p>
        </w:tc>
      </w:tr>
      <w:tr>
        <w:trPr>
          <w:trHeight w:val="234"/>
        </w:trPr>
        <w:tc>
          <w:tcPr>
            <w:tcW w:w="328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New Notes on any national securities exchange or quotation system.</w:t>
            </w:r>
          </w:p>
        </w:tc>
      </w:tr>
      <w:tr>
        <w:trPr>
          <w:trHeight w:val="414"/>
        </w:trPr>
        <w:tc>
          <w:tcPr>
            <w:tcW w:w="32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13 of this prospectus, as well as in our</w:t>
            </w:r>
          </w:p>
        </w:tc>
      </w:tr>
      <w:tr>
        <w:trPr>
          <w:trHeight w:val="216"/>
        </w:trPr>
        <w:tc>
          <w:tcPr>
            <w:tcW w:w="328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reports filed with the SEC, and other information included or incorporated by reference in this</w:t>
            </w:r>
          </w:p>
        </w:tc>
      </w:tr>
      <w:tr>
        <w:trPr>
          <w:trHeight w:val="216"/>
        </w:trPr>
        <w:tc>
          <w:tcPr>
            <w:tcW w:w="328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prospectus for a discussion of factors you should consider carefully before deciding to participate</w:t>
            </w:r>
          </w:p>
        </w:tc>
      </w:tr>
      <w:tr>
        <w:trPr>
          <w:trHeight w:val="234"/>
        </w:trPr>
        <w:tc>
          <w:tcPr>
            <w:tcW w:w="328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in the exchange offer.</w:t>
            </w:r>
          </w:p>
        </w:tc>
      </w:tr>
      <w:tr>
        <w:trPr>
          <w:trHeight w:val="414"/>
        </w:trPr>
        <w:tc>
          <w:tcPr>
            <w:tcW w:w="32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UMB Bank, N.A., or successor if replaced in accordance with the applicable provisions of the</w:t>
            </w:r>
          </w:p>
        </w:tc>
      </w:tr>
      <w:tr>
        <w:trPr>
          <w:trHeight w:val="234"/>
        </w:trPr>
        <w:tc>
          <w:tcPr>
            <w:tcW w:w="328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indenture.</w:t>
            </w:r>
          </w:p>
        </w:tc>
      </w:tr>
      <w:tr>
        <w:trPr>
          <w:trHeight w:val="414"/>
        </w:trPr>
        <w:tc>
          <w:tcPr>
            <w:tcW w:w="32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The indenture and the New Notes will be governed by and construed in accordance with the laws</w:t>
            </w:r>
          </w:p>
        </w:tc>
      </w:tr>
      <w:tr>
        <w:trPr>
          <w:trHeight w:val="234"/>
        </w:trPr>
        <w:tc>
          <w:tcPr>
            <w:tcW w:w="328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of the State of New York.</w:t>
            </w:r>
          </w:p>
        </w:tc>
      </w:tr>
      <w:tr>
        <w:trPr>
          <w:trHeight w:val="253"/>
        </w:trPr>
        <w:tc>
          <w:tcPr>
            <w:tcW w:w="3280" w:type="dxa"/>
            <w:vAlign w:val="bottom"/>
            <w:tcBorders>
              <w:left w:val="single" w:sz="8" w:color="auto"/>
              <w:bottom w:val="single" w:sz="8" w:color="auto"/>
            </w:tcBorders>
          </w:tcPr>
          <w:p>
            <w:pPr>
              <w:spacing w:after="0"/>
              <w:rPr>
                <w:sz w:val="22"/>
                <w:szCs w:val="22"/>
                <w:color w:val="auto"/>
              </w:rPr>
            </w:pPr>
          </w:p>
        </w:tc>
        <w:tc>
          <w:tcPr>
            <w:tcW w:w="7960" w:type="dxa"/>
            <w:vAlign w:val="bottom"/>
            <w:tcBorders>
              <w:bottom w:val="single" w:sz="8" w:color="auto"/>
              <w:right w:val="single" w:sz="8" w:color="auto"/>
            </w:tcBorders>
          </w:tcPr>
          <w:p>
            <w:pPr>
              <w:spacing w:after="0"/>
              <w:rPr>
                <w:sz w:val="22"/>
                <w:szCs w:val="22"/>
                <w:color w:val="auto"/>
              </w:rPr>
            </w:pPr>
          </w:p>
        </w:tc>
      </w:tr>
      <w:tr>
        <w:trPr>
          <w:trHeight w:val="429"/>
        </w:trPr>
        <w:tc>
          <w:tcPr>
            <w:tcW w:w="328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240"/>
          </w:cols>
          <w:pgMar w:left="320" w:top="683" w:right="339" w:bottom="1440" w:gutter="0" w:footer="0" w:header="0"/>
        </w:sectPr>
      </w:pPr>
    </w:p>
    <w:bookmarkStart w:id="15" w:name="page16"/>
    <w:bookmarkEnd w:id="1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20" w:firstLine="648"/>
        <w:spacing w:after="0" w:line="255"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In consultation with your own advisors, you should carefully consider, among other matters, the factors set forth below as well as the other information included or incorporated by reference in this prospectus before deciding whether to participate in the exchange offer. In particular, you should </w:t>
      </w:r>
      <w:hyperlink r:id="rId13">
        <w:r>
          <w:rPr>
            <w:rFonts w:ascii="Times New Roman" w:cs="Times New Roman" w:eastAsia="Times New Roman" w:hAnsi="Times New Roman"/>
            <w:sz w:val="18"/>
            <w:szCs w:val="18"/>
            <w:i w:val="1"/>
            <w:iCs w:val="1"/>
            <w:color w:val="auto"/>
          </w:rPr>
          <w:t xml:space="preserve">carefully consider, among other things, the factors described under the caption “Risk Factors” in our </w:t>
        </w:r>
        <w:r>
          <w:rPr>
            <w:rFonts w:ascii="Times New Roman" w:cs="Times New Roman" w:eastAsia="Times New Roman" w:hAnsi="Times New Roman"/>
            <w:sz w:val="18"/>
            <w:szCs w:val="18"/>
            <w:i w:val="1"/>
            <w:iCs w:val="1"/>
            <w:u w:val="single" w:color="auto"/>
            <w:color w:val="0000EE"/>
          </w:rPr>
          <w:t>Annual Report on Form 10-K for the year ended</w:t>
        </w:r>
      </w:hyperlink>
      <w:r>
        <w:rPr>
          <w:rFonts w:ascii="Times New Roman" w:cs="Times New Roman" w:eastAsia="Times New Roman" w:hAnsi="Times New Roman"/>
          <w:sz w:val="18"/>
          <w:szCs w:val="18"/>
          <w:i w:val="1"/>
          <w:iCs w:val="1"/>
          <w:color w:val="auto"/>
        </w:rPr>
        <w:t xml:space="preserve"> </w:t>
      </w:r>
      <w:hyperlink r:id="rId13">
        <w:r>
          <w:rPr>
            <w:rFonts w:ascii="Times New Roman" w:cs="Times New Roman" w:eastAsia="Times New Roman" w:hAnsi="Times New Roman"/>
            <w:sz w:val="18"/>
            <w:szCs w:val="18"/>
            <w:i w:val="1"/>
            <w:iCs w:val="1"/>
            <w:u w:val="single" w:color="auto"/>
            <w:color w:val="0000EE"/>
          </w:rPr>
          <w:t>December 31, 2025</w:t>
        </w:r>
        <w:r>
          <w:rPr>
            <w:rFonts w:ascii="Times New Roman" w:cs="Times New Roman" w:eastAsia="Times New Roman" w:hAnsi="Times New Roman"/>
            <w:sz w:val="18"/>
            <w:szCs w:val="18"/>
            <w:i w:val="1"/>
            <w:iCs w:val="1"/>
            <w:color w:val="000000"/>
          </w:rPr>
          <w:t>, which is incorporated herein by reference. If any of the risks contained in or incorporated by reference into this prospectus develop</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into actual events, our business, financial condition, liquidity, results of operations and prospects could be materially and adversely affected, the value of the New Notes could decline, our ability to repay the New Notes may be impaired, and you may lose all or part of your investment. Some statements in this prospectus, including statements in the following risk factors, constitute forward-looking statements. See the section entitled “Cautionary Note Regarding Forward-Looking Statements” beginning on page 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certain risks applicable to our business and operations, please refer to the section entitled “Risk Factors” in Part I, Item 1A of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Exchange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do not validly tender your Old Notes, you will continue to hold unregistered Old Notes and your ability to transfer Old Notes will be limited.</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will only issue New Notes in exchange for Old Notes that you timely and validly tender in accordance with the terms of the exchange offer. Therefore, you should allow sufficient time to ensure timely delivery of the Old Notes and you should carefully follow the instructions on how to tender your Old Notes. Neither we nor the exchange agent are required to tell you of any defects or irregularities with respect to your tender of Old Notes. See the section entitled “</w:t>
      </w:r>
      <w:r>
        <w:rPr>
          <w:rFonts w:ascii="Times New Roman" w:cs="Times New Roman" w:eastAsia="Times New Roman" w:hAnsi="Times New Roman"/>
          <w:sz w:val="18"/>
          <w:szCs w:val="18"/>
          <w:i w:val="1"/>
          <w:iCs w:val="1"/>
          <w:color w:val="auto"/>
        </w:rPr>
        <w:t>The Exchange Offer — Procedures for Tendering Old Notes</w:t>
      </w:r>
      <w:r>
        <w:rPr>
          <w:rFonts w:ascii="Times New Roman" w:cs="Times New Roman" w:eastAsia="Times New Roman" w:hAnsi="Times New Roman"/>
          <w:sz w:val="18"/>
          <w:szCs w:val="18"/>
          <w:color w:val="auto"/>
        </w:rPr>
        <w:t>” beginning on page 25.</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you do not exchange your Old Notes for New Notes in the exchange offer, you will continue to be subject to the restrictions on transfer of your Old Notes described in the legend on the certificates for your Old Notes. The restrictions on transfer of the Old Notes arose because we issued the Old Notes in a private placement exempt from the registration requirements under the Securities Act and applicable state securities laws. In general, you may only offer or sell the Old Notes if they are registered under the Securities Act and applicable state securities laws, or you offer and sell under an exemption from these requirements. We do not plan to register any sale of the Old Notes under the Securities Act.</w:t>
      </w:r>
    </w:p>
    <w:p>
      <w:pPr>
        <w:spacing w:after="0" w:line="18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tender of Old Notes under the exchange offer will reduce the principal amount of the Old Notes outstanding, which may have an adverse effect upon, and increase the volatility of, the market price of the Old Notes due to a reduction in liquidity.</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has not made a recommendation as to whether you should tender your Old Notes in exchange for New Notes in the exchange offer, and we have not obtained a third-party determination that the exchange offer is fair to holders of our Old Notes.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has not made, and will not make, any recommendation as to whether holders of Old Notes should tender their Old Notes in exchange for New Notes pursuant to the exchange offer. We have not retained, and do not intend to retain, any unaffiliated representative to act solely on behalf of the holders of the Old Notes for purposes of negotiating the terms of this exchange offer, or preparing a report or making any recommendation concerning the fairness of this exchange offer. Holders of Old Notes must make their own independent decisions regarding their participation in the exchange offer.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not receive New Notes in the exchange offer if you do not properly follow the exchange offer procedures.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will issue New Notes in exchange for your Old Notes only if you properly tender the Old Notes before expiration of the exchange offer. Neither we nor the exchange agent are required to tell you of any defects or irregularities with respect to your tender of Old Notes. If you are the beneficial holder of Old Notes that are held through your broker, dealer, commercial bank, trust company or other nominee, and you wish to tender such Old Notes in the exchange offer, you should promptly contact the person through whom your Old Notes are held and instruct that person to tender on your behalf in accordance with the procedures described in this prospectus and the accompanying transmittal letter.</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The exchange offer may be cancelled or delayed.</w:t>
      </w:r>
    </w:p>
    <w:p>
      <w:pPr>
        <w:spacing w:after="0" w:line="229"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consummation of the exchange offer is subject to, and conditional upon, the satisfaction or waiver of the conditions. We may, at our option and in our sole discretion, waive any such conditions. Even if the exchange offer is completed, the exchange offer may not be completed on the schedule described in this prospectus. Accordingly, holders participating in the exchange offer may have to wait longer than expected to receive their New Notes, during which time those holders of the Old Notes will not be able to effect transfers of their Old Notes tendered for exchange.</w:t>
      </w:r>
    </w:p>
    <w:p>
      <w:pPr>
        <w:spacing w:after="0" w:line="176"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holders who exchange their Old Notes may be deemed to be underwriters, and these holders will be required to comply with additional requirements under the Securities Act.</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Based on interpretations of the Securities Act by the staff of the SEC contained in certain no action letters issued to other parties, we believe that you, or any other person receiving New Notes, may offer for resale, resell or otherwise transfer the New Notes without complying with the registration and prospectus delivery requirements of the Securities Act. However, in some instances described in this prospectus under the section entitled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certain holders of New Notes will remain obligated to comply with the registration and prospectus delivery requirements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to transfer the New Notes. If such a holder transfers any New Notes without delivering a prospectus meeting the requirements of the Securities Act or without an applicable exemption from registration under the Securities Act, such a holder may incur liability under the Securities Act. We do not and will not assume, or indemnify such a holder against, such liability.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New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New Notes are unsecured and subordinated to our existing and future senior indebtedness.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Although the New Notes will rank on par with the Old Notes, the New Notes will be our unsecured, subordinated obligations, and, consequently, will rank junior in right of payment to all of our secured and unsecured “senior indebtedness” now existing or that we incur in the future, as described under the section entitled “</w:t>
      </w:r>
      <w:r>
        <w:rPr>
          <w:rFonts w:ascii="Times New Roman" w:cs="Times New Roman" w:eastAsia="Times New Roman" w:hAnsi="Times New Roman"/>
          <w:sz w:val="18"/>
          <w:szCs w:val="18"/>
          <w:i w:val="1"/>
          <w:iCs w:val="1"/>
          <w:color w:val="auto"/>
        </w:rPr>
        <w:t>Description of the Notes — Subordination</w:t>
      </w:r>
      <w:r>
        <w:rPr>
          <w:rFonts w:ascii="Times New Roman" w:cs="Times New Roman" w:eastAsia="Times New Roman" w:hAnsi="Times New Roman"/>
          <w:sz w:val="18"/>
          <w:szCs w:val="18"/>
          <w:color w:val="auto"/>
        </w:rPr>
        <w:t>” beginning on page 36. As a result, upon any payment or distribution of assets to creditors in the case of liquidation, dissolution, winding up, reorganization, assignment for the benefit of creditors or any bankruptcy, insolvency or similar proceeding, the holders of the senior indebtedness will be entitled to have the senior indebtedness paid in full prior to the holders of the New Notes receiving any payment of principal of, or interest on, the New Notes.</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of March 31, 2026, the Company and its subsidiaries had total outstanding liabilities, excluding intercompany liabilities, of $2.2 billion. This amount included $2.0 billion in aggregate principal amount of deposit liabilities of the Bank, all of which rank structurally senior to the notes. The New Notes do not limit the amount of additional indebtedness or senior indebtedness that we or any of our subsidiaries, including the Bank, may incur. Accordingly, in the future, we and our subsidiaries may incur other indebtedness, which may be substantial in amount, including senior indebtedness, indebtedness ranking equally with the New Notes and indebtedness ranking effectively senior to the New Notes, as applicable. Any additional indebtedness and liabilities that we and our subsidiaries incur may adversely affect our ability to pay our obligations on the New Notes.</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a consequence of the subordination of the New Notes to our existing and future senior indebtedness, an investor in those notes may lose all or some of its investment upon our liquidation, dissolution, winding up, reorganization, assignment for the benefit of creditors or any bankruptcy, insolvency or similar proceeding. In such an event, our assets would be available to pay the principal of, and any accrued and unpaid interest on, those notes only after all of our senior indebtedness had been paid in full. In such an event, any of our other general, unsecured obligations that do not constitute senior indebtedness, depending upon their respective preferences, will share pro rata in our remaining assets after we have paid all of our senior indebtedness in full.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New Notes are obligations only of the Company and not obligations of the Bank or any of our other subsidiaries and will be effectively subordinated to the existing and future indebtedness, deposits of the Bank and other liabilities of the Bank and our other subsidiaries.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New Notes are obligations solely of the Company and are not obligations of the Bank or any of our other subsidiaries. The Bank and our other subsidiaries are separate and distinct legal entities from the Company. The rights of the Company and the rights of its creditors, including the holders of the New Notes, to participate in any distribution of the assets of the Bank or any other subsidiary (either as a shareholder or as a creditor) upon an insolvency, bankruptcy, liquidation, dissolution, winding up or similar proceeding of the Bank or such other subsidiary (and the consequent right of the holders of the New Notes to participate in those assets after repayment of our existing or future senior indebtedness), will be subject to the claims of the creditors of the Bank, including depositors of the Bank, or such other subsidiary. Accordingly, the New Notes are effectively subordinated to all of the existing and future indebtedness, deposits and other liabilities and preferred equity of the Bank and our other subsidiaries, to the extent that those liabilities, including deposit liabilities, equal or exceed their respective assets.</w:t>
      </w:r>
    </w:p>
    <w:p>
      <w:pPr>
        <w:spacing w:after="0" w:line="19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New Notes do not limit the amount of indebtedness or other liabilities that the Bank or any of our other subsidiaries may incur. Any additional indebtedness and liabilities that our subsidiaries incur may adversely affect our ability to pay our obligations on the New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New Notes include limited covenants and do not restrict our ability to incur additional debt.</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New Notes do not contain any financial covenants that would require us to achieve or maintain any minimum financial results relating to our financial condition, liquidity or results of operations or meet or exceed certain financial ratios as a general matter or to incur additional indebtedness or obligations or to maintain any reserves. Moreover, the New Notes do not contain any covenants prohibiting us or our subsidiaries from, or limiting our or our subsidiaries’ right to, grant liens on assets to secure indebtedness or other obligations, to repurchase our stock or other securities, including any of the New Notes, or to pay dividends or make other distributions to our shareholders. The New Notes do not contain any provision that would provide protection to the holders of the New Notes against a material decline in our credit quality.</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the New Notes do not limit the amount of additional indebtedness we or any of our subsidiaries may incur or the amount of other obligations that we may incur ranking senior or equal to the indebtedness evidenced by the New Notes. The issuance or guarantee of any such securities or the incurrence of any such other liabilities may reduce the amount, if any, recoverable by holders of the New Notes in the event of our insolvency, bankruptcy, liquidation, dissolution, winding up or similar proceeding, and may limit our ability to meet our obligations under the New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service our debt, we will require a significant amount of cash. Our ability to generate cash depends on many factors.</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Our ability to make payments on or to refinance our indebtedness, including our ability to meet our obligations under the New Notes, and to fund our operations depends on our ability to generate cash and our access to the capital markets in the future. These will depend on our financial and operating performance, which, to a certain extent, are subject to general economic, financial, competitive, legislative, regulatory, capital market conditions and other factors that are beyond our control. If our cash flows and capital resources are insufficient to fund our debt service obligations, we may be unable to obtain new financing or to fund our obligations to our customers and business partners, implement our business plans, sell assets, seek additional capital or restructure or refinance our indebtedness, including the New Notes. As a result, we may be unable to meet our obligations under the New Notes. In the absence of sufficient capital resources, we could face substantial liquidity problems and might be required to dispose of material assets or operations to meet debt service and other obligations. We may not be able to consummate those dispositions of assets or to obtain the proceeds that they could realize from them and these proceeds may not be adequate to meet any debt service obligations then due, including obligations under the New Notes. Additionally, as a holding company, our ability to service our debt is dependent, in part, on the receipt of dividends, fees, and interest paid to us by the Bank. The Bank is a separate legal entity that is legally distinct from us and has no obligation to make funds available to us for payments of principal of or interest on the New Notes. While we expect these payments to continue in the future, there are regulatory limits under New York and federal law on the amount of dividends and distributions that the Bank can pay to us without regulatory approval. Accordingly, we can provide no assurance that we will receive dividends or other distributions from the Bank in an amount sufficient to pay the principal of or interest on the New Notes. See the section entitled “Business — Supervision and Regulation” in our Annual Report on Form 10-K for the year ended December 31, 2025 for additional information.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The New Notes are subject to limited rights of acceleration.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Payment of principal of the New Notes may be accelerated only in the case of certain bankruptcy-related events with respect to us. As a result, you have no right to accelerate the payment of principal of the New Notes if we fail to pay principal of or interest on the New Notes or if we fail in the performance of any of our other obligations under the New Notes.</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interest payable on the New Notes will vary beginning March 15, 2031, and interest after that date may be less than the initial fixed annual rate of 7.25% in effect until March 15, 2031.</w:t>
      </w:r>
    </w:p>
    <w:p>
      <w:pPr>
        <w:spacing w:after="0" w:line="15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From and including March 12, 2026, to, but excluding, March 15, 2031, the New Notes will bear interest at a rate of 7.25% per annum, payable semi-annually in arrears on March 15 and September 15 of each year, commencing on September 15, 2026. Thereafter, the notes will bear interest at a floating rate per annum equal to the then current three-month SOFR (provided, however, that in the event the three-month SOFR is less than zero, three-month SOFR shall be deemed to be zero), plus 386 basis points, subject to the provisions in the section entitled “</w:t>
      </w:r>
      <w:r>
        <w:rPr>
          <w:rFonts w:ascii="Times New Roman" w:cs="Times New Roman" w:eastAsia="Times New Roman" w:hAnsi="Times New Roman"/>
          <w:sz w:val="18"/>
          <w:szCs w:val="18"/>
          <w:i w:val="1"/>
          <w:iCs w:val="1"/>
          <w:color w:val="auto"/>
        </w:rPr>
        <w:t>Description of the Notes — 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Maturity and Interest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Floating rate notes bear additional risks not associated with fixed rate debt securities. These risks include fluctuation of the interest rates and the possibility that you will receive an amount of interest that is lower than expected. We have no control over a number of matters that may impact prevailing interest rates, including, without limitation, economic, financial, and political events that are important in determining the existence, magnitude, and longevity of market volatility, and other risks and their impact on the value of, or payments made on, the notes. In recent years, interest rates have been volatile, and that volatility may be expected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should not rely on indicative or historical data concerning SOFR.</w:t>
      </w:r>
    </w:p>
    <w:p>
      <w:pPr>
        <w:spacing w:after="0" w:line="22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interest rate during the floating rate period will be determined using Three-Month Term SOFR (unless a Benchmark Transition Event and its related Benchmark Replacement Date occur with respect to Three-Month Term SOFR, in which case the rate of interest will be based on the next-available Benchmark Replacement). In the following discussion of the Secured Overnight Financing Rate, or SOFR, when we refer to SOFR-linked notes, we mean the notes at any time when the interest rate on the notes is or will be determined based on SOFR, including Three-Month Term SOFR.</w:t>
      </w:r>
    </w:p>
    <w:p>
      <w:pPr>
        <w:spacing w:after="0" w:line="18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SOFR is calculated and published by the Federal Reserve Bank of New York (“FRBNY”) and is intended to be a broad measure of the cost of borrowing cash overnight collateralized by U.S. Treasury securities. FRBNY reports that SOFR includes all trades in the Broad General Collateral Rate, plus bilateral U.S. Treasury repurchase agreement (“repo”) transactions cleared through the delivery-versus-payment service offered by the Fixed Income Clearing Corporation, a subsidiary of the DTC. SOFR is filtered by FRBNY to remove a portion of the foregoing transactions considered to be “specials.” According to FRBNY, “specials” are repos for specific-issue collateral which take place at cash-lending rates below those for general collateral repos because cash providers are willing to accept a lesser return on their cash in order to obtain a particular security.</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SOFR was selected as the preferred overnight reference rate for U.S. Dollar financial contracts by the Alternative Reference Rates Committee (the “ARRC”). On July 29, 2021, the ARRC formally recommended the use of the CME Group’s forward-looking SOFR term rates. The CME Term SOFR reference rates provide forward-looking term rate estimates derived from SOFR, calculated and published for One-Month, Three-Month, Six-Month and Twelve-Month tenors (referred to as Term SOFR).</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benchmark rate applicable to the notes during the floating rate period commencing on March 15, 2031 is expected to be the then-current Three-Month Term SOFR, plus 386 basis points. Although the Three-Month Term SOFR is linked to SOFR, the Three-Month Term SOFR is calculated by the CME Group, and not the FRBNY, using transaction data from thirteen consecutive SR1 futures (1-month CME SOFR futures contracts) and five SR3 futures (3-month CME SOFR futures contracts). A set of volume weighted average prices (VWAP) are calculated using transaction prices observed during several observation intervals throughout the trading day. These are then used in a projection model to determine Term SOFR reference rates, including the Three-Month Term SOFR.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Term SOFR and SOFR may be more volatile than other benchmark or market rates.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Since the initial publication of SOFR, daily changes in the rate have, on occasion, been more volatile than daily changes in comparable benchmark or market rates, and SOFR and Term SOFR over time may bear little or no relation to the historical actual or historical indicative data. In addition, the return on and value of the Term SOFR-linked notes may fluctuate more than floating rate securities that are linked to less volatile rates.</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calculation of Term SOFR could adversely affect the amount of interest that accrues on the New Notes and the trading prices for the New Notes.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Because Term SOFR and SOFR are calculated based on data received from other sources, we have no control over its determination, calculation or publication. There can be no assurance that Term SOFR and SOFR will not be discontinued or fundamentally altered in a manner that is materially adverse to the interests of investors in the Term SOFR-linked notes. If the manner in which Term SOFR or SOFR is calculated is changed, that change may result in a change in the amount of interest that accrues on the Term SOFR-linked notes, which may adversely affect the trading prices of the Term SOFR-linked notes. Further, if the Benchmark rate on the Term SOFR-linked notes during the Floating Rate Period for any interest period declines to zero or becomes negative, then interest will only accrue on the Term SOFR linked notes at a rate equal to the spread of 386 basis points per annum with respect to that interest period. There is no assurance that changes in Term SOFR could not have a material adverse effect on the yield on, value of and market for the Term SOFR-linked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interest rate for the New Notes during the floating rate period may be determined based on a rate other than Three-Month Term SOFR.</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New Notes, the interest rate on the New Notes for each interest period during the applicable floating rate period will be based on Three-Month Term SOFR, a forward-looking term rate for a tenor of three months that will be based on SOFR. SOFR has a very limited history, and the future performance of SOFR cannot be predicted based on its limited historical performance. The level of SOFR during the applicable floating rate period for the New Notes may bear little or no relation to historical actual or indicative data. Prior observed patterns, if any, in the behavior of market variables and their relation to SOFR, such as correlations, may change in the future. The future performance of SOFR is therefore impossible to predict, and no future performance of SOFR may be inferred from any of the historical actual or indicative data. Changes in the levels of SOFR will affect the interest rate of the New Notes during the applicable floating rate period and accordingly will affect the return on the New Notes and the market price of the New Notes, but it is impossible to predict whether such levels will rise or fall.</w:t>
      </w:r>
    </w:p>
    <w:p>
      <w:pPr>
        <w:spacing w:after="0" w:line="19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New Notes, we are expressly authorized to make determinations, decisions or elections with respect to technical, administrative or operational matters that we decide are appropriate to reflect the use of Three-Month Term SOFR as the interest rate basis for the notes, which are defined in the terms of the indenture as “Three-Month Term SOFR Conventions.” Our determination and implementation of any Three-Month Term SOFR Conventions could result in adverse consequences to the amount of interest that accrues on the notes during the floating rate period, which could adversely affect the return on, value of and market for the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Benchmark Replacement may not be the economic equivalent of Three-Month Term SOFR.</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benchmark transition provisions of the New Notes, if the calculation agent determines that a Benchmark Transition Event and its related Benchmark Replacement Date have occurred with respect to Three-Month Term SOFR, then the interest rate on the notes during the floating rate period will be determined using the next-available Benchmark Replacement (which may include a related Benchmark Replacement Adjustment). However, the Benchmark Replacement may not be the economic equivalent of Three-Month Term SOFR. For example, Compounded SOFR, the first available Benchmark Replacement, is the compounded average of the daily SOFR calculated in arrears, while Three-Month Term SOFR is intended to be a forward-looking rate with a tenor of three months. Further, the ISDA Fallback Rate, which is another Benchmark Replacement, may change over time.</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implementation of Benchmark Replacement Conforming Changes could adversely affect the amount of interest that accrues on the notes and the trading prices for the New Notes.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Under the benchmark transition provisions of the New Notes, if Three-Month SOFR has been discontinued or if a particular Benchmark Replacement or Benchmark Replacement Adjustment cannot be determined, then the next-available Benchmark Replacement or Benchmark Replacement Adjustment will apply. These replacement rates and adjustments may be selected or formulated by (i) the Relevant Governmental Body, (ii) ISDA or (iii) in certain circumstances, the calculation agent. In addition, the benchmark transition provisions expressly authorize the calculation agent to make certain changes, which are defined in the terms of the indenture as “Benchmark Replacement Conforming Changes,” with respect to, among other things, the determination of interest periods, and the timing and frequency of determining rates and making payments of interest. The application of a Benchmark Replacement and Benchmark Replacement Adjustment, and any implementation of Benchmark Replacement Conforming Changes, could result in adverse consequences to the amount of interest that accrues on the New Notes during the floating rate period, which could adversely affect the return on, value of and market for the New Notes. Further, there is no assurance that the characteristics of any Benchmark Replacement will be similar to the then-current Benchmark that it is replacing, or that any Benchmark Replacement will produce the economic equivalent of the then-current Benchmark that it is replacing.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no active trading market for the New Notes.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New Notes are a new issue of securities with no established trading market. We are not obligated to and do not intend to apply for listing of the New Notes on any national securities exchange or quotation system. A liquid or active trading market for the New Notes may not develop. If an active trading market for the New Notes does not develop, the market price and liquidity of the New Notes may be adversely affected. If the New Notes are traded, they may trade at a discount from their initial offering price, depending on prevailing interest rates, the market for similar securities, our performance and other factors. Accordingly, we cannot assure you that you will be able to sell any of the New Notes or the prices, if any, at which holders may be able to sell their New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results and prevent us from fulfilling our obligations under the New Notes.</w:t>
      </w:r>
    </w:p>
    <w:p>
      <w:pPr>
        <w:spacing w:after="0" w:line="229" w:lineRule="exact"/>
        <w:rPr>
          <w:sz w:val="20"/>
          <w:szCs w:val="20"/>
          <w:color w:val="auto"/>
        </w:rPr>
      </w:pPr>
    </w:p>
    <w:p>
      <w:pPr>
        <w:ind w:right="760"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currently outstanding indebtedness, we may be able to borrow substantial additional indebtedness in the future. If new indebtedness is incurred in addition to our current debt levels, the related risks that we now face could increase. Our indebtedness, including the indebtedness we may incur in the future, could have important consequences for the holders of the New Notes, including:</w:t>
      </w:r>
    </w:p>
    <w:p>
      <w:pPr>
        <w:spacing w:after="0" w:line="17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limiting our ability to satisfy our obligations with respect to the New Notes;</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increasing our vulnerability to general adverse economic industry conditions;</w:t>
      </w:r>
    </w:p>
    <w:p>
      <w:pPr>
        <w:spacing w:after="0" w:line="224" w:lineRule="exact"/>
        <w:rPr>
          <w:rFonts w:ascii="Arial" w:cs="Arial" w:eastAsia="Arial" w:hAnsi="Arial"/>
          <w:sz w:val="18"/>
          <w:szCs w:val="18"/>
          <w:b w:val="1"/>
          <w:bCs w:val="1"/>
          <w:color w:val="auto"/>
        </w:rPr>
      </w:pPr>
    </w:p>
    <w:p>
      <w:pPr>
        <w:ind w:left="1300" w:right="640" w:hanging="644"/>
        <w:spacing w:after="0" w:line="281" w:lineRule="auto"/>
        <w:tabs>
          <w:tab w:leader="none" w:pos="130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and other general corporate requirements;</w:t>
      </w:r>
    </w:p>
    <w:p>
      <w:pPr>
        <w:spacing w:after="0" w:line="162" w:lineRule="exact"/>
        <w:rPr>
          <w:rFonts w:ascii="Arial" w:cs="Arial" w:eastAsia="Arial" w:hAnsi="Arial"/>
          <w:sz w:val="18"/>
          <w:szCs w:val="18"/>
          <w:b w:val="1"/>
          <w:bCs w:val="1"/>
          <w:color w:val="auto"/>
        </w:rPr>
      </w:pPr>
    </w:p>
    <w:p>
      <w:pPr>
        <w:ind w:left="1300" w:right="420" w:hanging="644"/>
        <w:spacing w:after="0" w:line="311" w:lineRule="auto"/>
        <w:tabs>
          <w:tab w:leader="none" w:pos="1300" w:val="left"/>
        </w:tabs>
        <w:numPr>
          <w:ilvl w:val="0"/>
          <w:numId w:val="4"/>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requiring a substantial portion of our cash flow from operations for the payment of principal of and interest on our indebtedness and thereby reducing our ability to use our cash flow to fund working capital, capital expenditures and general corporate requirements;</w:t>
      </w:r>
    </w:p>
    <w:p>
      <w:pPr>
        <w:spacing w:after="0" w:line="140" w:lineRule="exact"/>
        <w:rPr>
          <w:rFonts w:ascii="Arial" w:cs="Arial" w:eastAsia="Arial" w:hAnsi="Arial"/>
          <w:sz w:val="17"/>
          <w:szCs w:val="17"/>
          <w:b w:val="1"/>
          <w:bCs w:val="1"/>
          <w:color w:val="auto"/>
        </w:rPr>
      </w:pPr>
    </w:p>
    <w:p>
      <w:pPr>
        <w:ind w:left="1300" w:hanging="644"/>
        <w:spacing w:after="0"/>
        <w:tabs>
          <w:tab w:leader="none" w:pos="130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limiting our flexibility in planning for, or reacting to, changes in our business and the industry; and</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putting us at a disadvantage compared to competitors with less indebtedness.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ratings may adversely affect your investment in the New Notes.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credit ratings on the New Notes are an assessment by rating agencies of our ability to pay our debts when due. These ratings are not recommendations to purchase, hold or sell the New Notes, inasmuch as the ratings do not comment as to market price or suitability for a particular investor, are limited in scope, and do not address all material risks relating to an investment in the New Notes, but rather reflect only the view of each rating agency at the time the rating is issued. The ratings are based on current information furnished to the ratings agencies by us and information obtained by the ratings agencies from other sources. An explanation of the significance of such rating may be obtained from such rating agency. There can be no assurance that such credit ratings will remain in effect for any given period of time or that such ratings will not be lowered, suspended or withdrawn entirely by the rating agencies, if, in each rating agency’s judgment, circumstances so warrant.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1" w:name="page22"/>
    <w:bookmarkEnd w:id="21"/>
    <w:p>
      <w:pPr>
        <w:ind w:firstLine="648"/>
        <w:spacing w:after="0" w:line="258" w:lineRule="auto"/>
        <w:rPr>
          <w:sz w:val="20"/>
          <w:szCs w:val="20"/>
          <w:color w:val="auto"/>
        </w:rPr>
      </w:pPr>
      <w:r>
        <w:rPr>
          <w:rFonts w:ascii="Times New Roman" w:cs="Times New Roman" w:eastAsia="Times New Roman" w:hAnsi="Times New Roman"/>
          <w:sz w:val="18"/>
          <w:szCs w:val="18"/>
          <w:color w:val="auto"/>
        </w:rPr>
        <w:t>Any ratings of our long-term debt are based on a number of factors, including our financial strength as well as factors not entirely within our control, including conditions affecting the financial services industry generally. There can be no assurance that we will not receive adverse changes in our ratings in the future, which could adversely affect the cost and other terms upon which we are able to obtain funding and the way in which we are perceived in the capital markets. Actual or anticipated changes or downgrades in our credit ratings, including any announcement that our ratings are under review for a downgrade, could affect the market value and liquidity of the New Notes and increase our borrowing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investment in the New Notes is not an FDIC insured deposit.</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New Notes are not savings accounts, deposits or other obligations of any of our bank or non-bank subsidiaries and are not insured or guaranteed by the FDIC or any other governmental agency or instrumentality. Your investment will be subject to investment risk and you may experience loss with respect to your investment.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We will not receive any cash proceeds from the exchange offer. In consideration for issuing the New Notes as contemplated by this prospectus, we will receive in exchange Old Notes in like principal amount. We intend to cancel all Old Notes received in exchange for New Notes in the exchange offer.</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EXCHANGE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Old Notes on March 12, 2026, we entered into registration rights agreements with the initial purchasers of the Old Notes, which provide for the exchange offer we are making pursuant to this prospectus. The exchange offer will permit eligible holders of Old Notes to exchange their Old Notes for New Notes that are identical in all material respects with the Old Notes, except that:</w:t>
      </w:r>
    </w:p>
    <w:p>
      <w:pPr>
        <w:spacing w:after="0" w:line="176" w:lineRule="exact"/>
        <w:rPr>
          <w:sz w:val="20"/>
          <w:szCs w:val="20"/>
          <w:color w:val="auto"/>
        </w:rPr>
      </w:pPr>
    </w:p>
    <w:p>
      <w:pPr>
        <w:ind w:left="1300" w:right="420" w:hanging="644"/>
        <w:spacing w:after="0" w:line="281" w:lineRule="auto"/>
        <w:tabs>
          <w:tab w:leader="none" w:pos="130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New Notes have been registered with the SEC under the Securities Act and, as a result, will not bear any legend restricting their transfer;</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New Notes bear a different CUSIP number from the Old Notes;</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New Notes generally will not be subject to transfer restrictions;</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New Notes will not be entitled to registration rights under the registration rights agreements or otherwise; and</w:t>
      </w:r>
    </w:p>
    <w:p>
      <w:pPr>
        <w:spacing w:after="0" w:line="224" w:lineRule="exact"/>
        <w:rPr>
          <w:rFonts w:ascii="Arial" w:cs="Arial" w:eastAsia="Arial" w:hAnsi="Arial"/>
          <w:sz w:val="18"/>
          <w:szCs w:val="18"/>
          <w:b w:val="1"/>
          <w:bCs w:val="1"/>
          <w:color w:val="auto"/>
        </w:rPr>
      </w:pPr>
    </w:p>
    <w:p>
      <w:pPr>
        <w:ind w:left="1300" w:right="220" w:hanging="644"/>
        <w:spacing w:after="0" w:line="281" w:lineRule="auto"/>
        <w:tabs>
          <w:tab w:leader="none" w:pos="130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because the New Notes will not be entitled to registration rights, holders of the New Notes will not have the right to additional interest under the circumstances described in the registration rights agreements relating to our fulfillment of our registration obligations.</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New Notes will evidence the same debt as the Old Notes. Holders of the New Notes will be entitled to the benefits of the indenture. Accordingly, the New Notes and the Old Notes will be treated as a single series of subordinated debt securities under the indenture. Old Notes that are not tendered for exchange in the exchange offer will remain outstanding and interest on those Old Notes will continue to accrue at the applicable interest rate and be subject to the terms of the indenture.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exchange offer does not depend on any minimum aggregate principal amount of Old Notes being tendered for exchange.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intend to conduct the exchange offer in accordance with the provisions of the registration rights agreements and the applicable requirements of the Exchange Act, and the related rules and regulations of the SEC applicable to transactions of this type.</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will be deemed to have accepted validly tendered Old Notes when and if we have given oral or written notice to the exchange agent of our acceptance of such Old Notes. Subject to the terms and conditions of this exchange offer, delivery of New Notes will be made by the exchange agent promptly after receipt of our notice of acceptance. The exchange agent will act as agent for the holders of Old Notes tendering their Old Notes for the purpose of receiving New Notes from us in exchange for such tendered and accepted Old Notes. If any tendered Old Notes are not accepted for exchange because of an invalid tender, the occurrence of other events described in this prospectus or otherwise, we will return or cause to be returned the certificates for any unaccepted Old Notes, at our expense, to the tendering holder promptly after the expiration of the exchange offer.</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a holder of Old Notes validly tenders Old Notes in the exchange offer, the tendering holder will not be required to pay us brokerage commissions or fees. In addition, subject to the instructions in such letter of transmittal and certain limited exceptions described in this prospectus, the tendering holder will not have to pay transfer taxes for the exchange of Old Notes. Subject to certain exceptions described in this prospectus, we will pay all of the expenses in connection with the exchange offer, other than certain applicable taxes. See the section entitled “— </w:t>
      </w:r>
      <w:r>
        <w:rPr>
          <w:rFonts w:ascii="Times New Roman" w:cs="Times New Roman" w:eastAsia="Times New Roman" w:hAnsi="Times New Roman"/>
          <w:sz w:val="18"/>
          <w:szCs w:val="18"/>
          <w:i w:val="1"/>
          <w:iCs w:val="1"/>
          <w:color w:val="auto"/>
        </w:rPr>
        <w:t>Fees and Expenses</w:t>
      </w:r>
      <w:r>
        <w:rPr>
          <w:rFonts w:ascii="Times New Roman" w:cs="Times New Roman" w:eastAsia="Times New Roman" w:hAnsi="Times New Roman"/>
          <w:sz w:val="18"/>
          <w:szCs w:val="18"/>
          <w:color w:val="auto"/>
        </w:rPr>
        <w:t>” beginning on page 28.</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outstanding Old Notes do not have any appraisal, dissenters’ or similar rights in connection with the exchange offer. Outstanding Old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which are not tendered, or are tendered but not accepted, in connection with the exchange offer will remain outstanding. See the section entitled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 — Risks Related to the Exchange Offer — If you do not validly tender your Old Notes, you will continue to hold unregistered Old Notes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your ability to transfer Old Notes will be limited</w:t>
      </w:r>
      <w:r>
        <w:rPr>
          <w:rFonts w:ascii="Times New Roman" w:cs="Times New Roman" w:eastAsia="Times New Roman" w:hAnsi="Times New Roman"/>
          <w:sz w:val="18"/>
          <w:szCs w:val="18"/>
          <w:color w:val="auto"/>
        </w:rPr>
        <w:t>” beginning on page 13.</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4" w:name="page25"/>
    <w:bookmarkEnd w:id="24"/>
    <w:p>
      <w:pPr>
        <w:ind w:right="8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NEITHER WE NOR THE EXCHANGE AGENT ARE MAKING ANY RECOMMENDATION TO THE HOLDERS OF THE OUTSTANDING OLD NOTES AS TO WHETHER TO TENDER OR REFRAIN FROM TENDERING ALL OR ANY PORTION OF THEIR OUTSTANDING OLD NOTES IN THE EXCHANGE OFFER. IN ADDITION, NEITHER WE NOR THE EXCHANGE AGENT HAVE AUTHORIZED ANYONE TO MAKE ANY SUCH RECOMMENDATION. HOLDERS OF THE OUTSTANDING OLD NOTES MUST MAKE THEIR OWN DECISION WHETHER TO TENDER PURSUANT TO THE EXCHANGE OFFER, AND, IF SO, THE AGGREGATE PRINCIPAL AMOUNT OF OUTSTANDING OLD NOTES TO TENDER AFTER READING THIS PROSPECTUS AND THE LETTER OF TRANSMITTAL AND CONSULTING WITH THEIR ADVISERS, IF ANY, BASED ON THEIR FINANCIAL POSITION AND INDIVIDUAL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issued the Old Notes in a private placement exempt from the registration requirements under the Securities Act and applicable state securities laws. In connection with the issuance of the Old Notes, we entered into registration rights agreements with the initial purchasers of the Old Notes, and we are making the exchange offer to comply with our contractual obligations under the registration rights agreements.</w:t>
      </w:r>
    </w:p>
    <w:p>
      <w:pPr>
        <w:spacing w:after="0" w:line="176"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provides a summary of certain terms of the registration rights agreements. This summary is qualified in its entirety by reference to the complete registration rights agreement, which is incorporated by reference as an exhibit to the registration statement of which this prospectus is a part.</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registration rights agreements that we entered into with the purchasers of the Old Notes at the time we issued the Old Notes, we agreed to register the New Notes and undertake this exchange offer. This exchange offer is intended to satisfy the rights of holders of Old Notes under those registration rights agreements. After the exchange offer is completed, we will have no further obligations, except under the limited circumstances described below, to provide for any exchange or undertake any further registration with respect to the Old Notes.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terms of the registration rights agreements, we agreed, among other things, to use commercially reasonable efforts to:</w:t>
      </w:r>
    </w:p>
    <w:p>
      <w:pPr>
        <w:spacing w:after="0" w:line="225" w:lineRule="exact"/>
        <w:rPr>
          <w:sz w:val="20"/>
          <w:szCs w:val="20"/>
          <w:color w:val="auto"/>
        </w:rPr>
      </w:pPr>
    </w:p>
    <w:p>
      <w:pPr>
        <w:ind w:left="1300" w:right="560" w:hanging="644"/>
        <w:spacing w:after="0" w:line="281" w:lineRule="auto"/>
        <w:tabs>
          <w:tab w:leader="none" w:pos="130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file a registration statement with the SEC under the Securities Act with respect to a registered offer to exchange the Old Notes for substantially identical notes that do not contain transfer restrictions and will be registered under the Securities Act;</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cause that registration statement to become effective no later than one hundred fifty (150) days after March 12, 2026; and</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consummate the exchange offer no later than forty-five (45) days after the effective date of that registration statement.</w:t>
      </w:r>
    </w:p>
    <w:p>
      <w:pPr>
        <w:spacing w:after="0" w:line="224"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registration rights agreements also require us to commence the exchange offer promptly after the effectiveness of the registration statement and to keep the exchange offer open for not less than twenty (20) business days, or longer if required by applicable law, after the date on which notice of the exchange offer is mailed to the holders of the Old Notes.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also agreed to issue and exchange New Notes for all Old Notes duly tendered and not validly withdrawn before the expiration of the exchange offer. We are sending this prospectus, together with a letter of transmittal for book-entry notes, to all the holders of the Old Notes known to us. For each Old Note validly tendered to us in the exchange offer and not validly withdrawn, the holder will receive a New Note having a principal amount equal to the principal amount of the tendered Old Note. Old Notes may be exchanged, and New Notes will be issued, only in minimum denominations of $100,000 and integral multiples of $1,000 in excess thereof.</w:t>
      </w:r>
    </w:p>
    <w:p>
      <w:pPr>
        <w:spacing w:after="0" w:line="183"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We further agreed that under certain circumstances we would either file a shelf registration statement with the SEC or designate an existing effective shelf registration statement of ours that would allow resales by certain holders of the Old Notes in lieu of such holders participating in the exchange offer.</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Eligibility; Transferability</w:t>
      </w:r>
    </w:p>
    <w:p>
      <w:pPr>
        <w:spacing w:after="0" w:line="229"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We are making the exchange offer in reliance on interpretations of the staff of the SEC set forth in several no-action letters provided to other parties. We have not sought or received our own no-action letter from the staff of the SEC with respect to the exchange offer and the related transactions, and there can be no assurance that the staff of the SEC will make a determination in the case of the exchange offer and such transactions that is similar to its determinations in the above mentioned no-action letters. However, based on these existing SEC staff interpretations, we believe that you, or any other person receiving New Notes, may offer for resale, resell or otherwise transfer the New Notes without complying with the registration and prospectus delivery requirements of the U.S. federal securities laws, provided that:</w:t>
      </w:r>
    </w:p>
    <w:p>
      <w:pPr>
        <w:spacing w:after="0" w:line="18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are not, nor is any such person, an “affiliate” of ours within the meaning of Rule 405 under the Securities Act;</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are, or the person receiving the New Notes is, acquiring the New Notes in the ordinary course of business;</w:t>
      </w:r>
    </w:p>
    <w:p>
      <w:pPr>
        <w:spacing w:after="0" w:line="224" w:lineRule="exact"/>
        <w:rPr>
          <w:rFonts w:ascii="Arial" w:cs="Arial" w:eastAsia="Arial" w:hAnsi="Arial"/>
          <w:sz w:val="18"/>
          <w:szCs w:val="18"/>
          <w:b w:val="1"/>
          <w:bCs w:val="1"/>
          <w:color w:val="auto"/>
        </w:rPr>
      </w:pPr>
    </w:p>
    <w:p>
      <w:pPr>
        <w:ind w:left="1300" w:right="40" w:hanging="644"/>
        <w:spacing w:after="0" w:line="281" w:lineRule="auto"/>
        <w:tabs>
          <w:tab w:leader="none" w:pos="1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do not, nor does any such person, have an arrangement or understanding with any person to participate in any distribution (within the meaning of the Securities Act) of the New Notes;</w:t>
      </w:r>
    </w:p>
    <w:p>
      <w:pPr>
        <w:spacing w:after="0" w:line="162" w:lineRule="exact"/>
        <w:rPr>
          <w:rFonts w:ascii="Arial" w:cs="Arial" w:eastAsia="Arial" w:hAnsi="Arial"/>
          <w:sz w:val="18"/>
          <w:szCs w:val="18"/>
          <w:b w:val="1"/>
          <w:bCs w:val="1"/>
          <w:color w:val="auto"/>
        </w:rPr>
      </w:pPr>
    </w:p>
    <w:p>
      <w:pPr>
        <w:ind w:left="1300" w:right="120" w:hanging="644"/>
        <w:spacing w:after="0" w:line="265" w:lineRule="auto"/>
        <w:tabs>
          <w:tab w:leader="none" w:pos="1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are not, nor is any such person, a broker-dealer registered under the Exchange Act, and you are not engaged in and do not intend to engage in, nor is any such person engaged in or intending to engage in, any distribution (within the meaning of the Securities Act) of the New Notes; and</w:t>
      </w:r>
    </w:p>
    <w:p>
      <w:pPr>
        <w:spacing w:after="0" w:line="177" w:lineRule="exact"/>
        <w:rPr>
          <w:rFonts w:ascii="Arial" w:cs="Arial" w:eastAsia="Arial" w:hAnsi="Arial"/>
          <w:sz w:val="18"/>
          <w:szCs w:val="18"/>
          <w:b w:val="1"/>
          <w:bCs w:val="1"/>
          <w:color w:val="auto"/>
        </w:rPr>
      </w:pPr>
    </w:p>
    <w:p>
      <w:pPr>
        <w:ind w:left="1300" w:hanging="644"/>
        <w:spacing w:after="0"/>
        <w:tabs>
          <w:tab w:leader="none" w:pos="1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are not acting on behalf of any person who could not truthfully make these statements.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participate in the exchange offer, you must represent as a holder of Old Notes that each of these statements is true.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in order for broker-dealers registered under the Exchange Act to participate in the exchange offer, each such broker-dealer must also</w:t>
      </w:r>
    </w:p>
    <w:p>
      <w:pPr>
        <w:spacing w:after="0" w:line="27" w:lineRule="exact"/>
        <w:rPr>
          <w:sz w:val="20"/>
          <w:szCs w:val="20"/>
          <w:color w:val="auto"/>
        </w:rPr>
      </w:pPr>
    </w:p>
    <w:p>
      <w:pPr>
        <w:ind w:firstLine="8"/>
        <w:spacing w:after="0" w:line="251" w:lineRule="auto"/>
        <w:tabs>
          <w:tab w:leader="none" w:pos="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that it is participating in the exchange offer for its own account and is exchanging Old Notes acquired as a result of market-making activities or other trading activities; (ii) confirm that it has not entered into any arrangement or understanding with us or any of our affiliates to distribute the New Notes; and (iii) acknowledge that it will deliver a prospectus meeting the requirements of the Securities Act in connection with any resale of the New Notes. The letter of transmittal to be delivered in connection with a tender of the Old Notes states that by acknowledging that it will deliver, and by delivering, a prospectus, a broker-dealer will not be deemed to admit that it is an underwriter within the meaning of the Securities Act. This prospectus, as it may be amended or supplemented from time to time, may be used by a broker-dealer in connection with resale of the New Notes received in exchange for the Old Notes where such Old Notes were acquired by such broker-dealer as a result of market-making activities or other trading activities. We have agreed that, for a period of one hundred eighty (180) days following the expiration date of the exchange offer, we will amend or supplement this prospectus to expedite or facilitate the disposition of any New Notes by such broker-dealers.</w:t>
      </w:r>
    </w:p>
    <w:p>
      <w:pPr>
        <w:spacing w:after="0" w:line="19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Any holder of Old Notes (i) who is our “affiliate” (as such term is defined under Rule 405 under the Securities Act), (ii) who does not acquire the New Notes in the ordinary course of business, (iii) who intends to participate in the exchange offer for the purpose of distributing the New Notes, or</w:t>
      </w: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a broker-dealer that purchased the Old Notes directly from us:</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will not be able to rely on the interpretation of the staff of the SEC set forth in the no-action letters described above;</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1"/>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will not be able to tender Old Notes in the exchange offer; and</w:t>
      </w:r>
    </w:p>
    <w:p>
      <w:pPr>
        <w:spacing w:after="0" w:line="224" w:lineRule="exact"/>
        <w:rPr>
          <w:rFonts w:ascii="Arial" w:cs="Arial" w:eastAsia="Arial" w:hAnsi="Arial"/>
          <w:sz w:val="18"/>
          <w:szCs w:val="18"/>
          <w:b w:val="1"/>
          <w:bCs w:val="1"/>
          <w:color w:val="auto"/>
        </w:rPr>
      </w:pPr>
    </w:p>
    <w:p>
      <w:pPr>
        <w:ind w:left="1300" w:right="260" w:hanging="644"/>
        <w:spacing w:after="0" w:line="281" w:lineRule="auto"/>
        <w:tabs>
          <w:tab w:leader="none" w:pos="1300" w:val="left"/>
        </w:tabs>
        <w:numPr>
          <w:ilvl w:val="1"/>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must comply with the registration and prospectus delivery requirements of the Securities Act in connection with any sale or transfer of the New Notes, unless the sale or transfer is made pursuant to an exemption from those requirements.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exchange offer is not being made to, nor will we accept tenders for exchange from, holders of Old Notes in any jurisdiction in which the exchange offer or the acceptance of the exchange offer would not be in compliance with the securities or blue sky laws of such jurisdiction.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 of the Exchange Offer; Extensions; Amendments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exchange offer will expire at 11:59 p.m., New York City time on July 23, 2026, which we refer to as the expiration date, unless we extend the exchange offer. If we extend the exchange offer, the expiration date will be the latest date and time to which the exchange offer is extended. To extend the exchange offer, we will notify the exchange agent and each registered holder of the Old Notes of any extension before 9:00 a.m., New York City time on the next business day after the previously scheduled expiration date. During any such extension, all Old Notes previously tendered will remain subject to the exchange offer and may be accepted for exchange by us.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reserve the right to extend the exchange offer, delay accepting any tendered Old Notes or, if any of the conditions described below under the heading entitled “— </w:t>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have not been satisfied, to terminate the exchange offer. We also reserve the right to amend the terms of the exchange offer in any manner. We will give oral or written notice of any delay, extension, termination or amendment to the exchange agent. We will keep the exchange offer open for not less than twenty (20) business days, or longer if required by applicable law, after the date on which notice of the exchange offer is mailed to holders of the Old Notes.</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we amend the exchange offer in a manner that we consider material, we will disclose that amendment by means of a prospectus supplement, and we will extend the exchange offer so that at least five (5) business days remain in the exchange offer following notice of the material change.</w:t>
      </w:r>
    </w:p>
    <w:p>
      <w:pPr>
        <w:spacing w:after="0" w:line="16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If we determine to make a public announcement of any delay, extension, amendment or termination of the exchange offer, we will do so by making a timely release through an appropriate news agency.</w:t>
      </w:r>
    </w:p>
    <w:p>
      <w:pPr>
        <w:spacing w:after="0" w:line="16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If we terminate or withdraw the exchange offer, we will promptly return any Old Notes deposited, under the exchange offer as required by Rule 14e-1(c) under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exchange offer is not conditioned on any minimum aggregate principal amount of Old Notes being tendered or accepted for exchange. Notwithstanding any other term of the exchange offer, we will not be required to accept for exchange, or issue any New Notes for, any Old Notes, and may terminate or amend the exchange offer before the acceptance of the Old Notes, if:</w:t>
      </w:r>
    </w:p>
    <w:p>
      <w:pPr>
        <w:spacing w:after="0" w:line="17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such Old Notes are tendered to us other than in accordance with the terms and conditions of the exchange offer;</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determine that the exchange offer violates any law, statute, rule, regulation or interpretation by the staff of the SEC; or</w:t>
      </w:r>
    </w:p>
    <w:p>
      <w:pPr>
        <w:spacing w:after="0" w:line="224" w:lineRule="exact"/>
        <w:rPr>
          <w:rFonts w:ascii="Arial" w:cs="Arial" w:eastAsia="Arial" w:hAnsi="Arial"/>
          <w:sz w:val="18"/>
          <w:szCs w:val="18"/>
          <w:b w:val="1"/>
          <w:bCs w:val="1"/>
          <w:color w:val="auto"/>
        </w:rPr>
      </w:pPr>
    </w:p>
    <w:p>
      <w:pPr>
        <w:ind w:left="1300" w:right="180" w:hanging="644"/>
        <w:spacing w:after="0" w:line="281" w:lineRule="auto"/>
        <w:tabs>
          <w:tab w:leader="none" w:pos="130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action or proceeding is instituted or threatened in any court or by or before any governmental agency relating to the exchange offer which, in our judgment, could reasonably be expected to impair our ability to proceed with the exchange offer.</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conditions listed above are for our sole benefit and may be asserted by us regardless of the circumstances giving rise to any of these conditions. We may waive these conditions in our absolute discretion in whole or in part at any time and from time to time prior to the expiration date. Our failure at any time to exercise any of the above rights will not be considered a waiver of that right, and that right will be considered an ongoing right which we may assert at any time and from time to time.</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addition, we will not accept for exchange any Old Notes tendered, and no New Notes will be issued in exchange for those Old Notes, if at any time any stop order is threatened or issued by the SEC with respect to the registration statement for the exchange offer and the New Notes or the qualification of the indenture under the Trust Indenture Act of 1939. In any such event, we will use our commercially reasonable efforts to obtain the withdrawal of any stop order as soon as practicable.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7" w:name="page28"/>
    <w:bookmarkEnd w:id="27"/>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Further, we will not be obligated to accept for exchange the Old Notes of any holder that has not made to us the representations described under the sections entitled “— </w:t>
      </w:r>
      <w:r>
        <w:rPr>
          <w:rFonts w:ascii="Times New Roman" w:cs="Times New Roman" w:eastAsia="Times New Roman" w:hAnsi="Times New Roman"/>
          <w:sz w:val="18"/>
          <w:szCs w:val="18"/>
          <w:i w:val="1"/>
          <w:iCs w:val="1"/>
          <w:color w:val="auto"/>
        </w:rPr>
        <w:t>Eligibility; Transferability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pages 23 and 48,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Tendering Old Notes</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 order to participate in the exchange offer, you must validly tender your Old Notes to the exchange agent, as described below, by the expiration date. It is your responsibility to validly tender your Old Notes. We have the right to waive any defects. However, we are not required to waive defects and are not required to notify you of defects in your tender.</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have any questions or need help in exchanging your Old Notes, please call the exchange agent, whose address and phone number are set forth in the section entitled “— </w:t>
      </w:r>
      <w:r>
        <w:rPr>
          <w:rFonts w:ascii="Times New Roman" w:cs="Times New Roman" w:eastAsia="Times New Roman" w:hAnsi="Times New Roman"/>
          <w:sz w:val="18"/>
          <w:szCs w:val="18"/>
          <w:i w:val="1"/>
          <w:iCs w:val="1"/>
          <w:color w:val="auto"/>
        </w:rPr>
        <w:t>Exchange Agent</w:t>
      </w:r>
      <w:r>
        <w:rPr>
          <w:rFonts w:ascii="Times New Roman" w:cs="Times New Roman" w:eastAsia="Times New Roman" w:hAnsi="Times New Roman"/>
          <w:sz w:val="18"/>
          <w:szCs w:val="18"/>
          <w:color w:val="auto"/>
        </w:rPr>
        <w:t>” beginning on page 28.</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will determine all questions as to the validity, form, eligibility (including time of receipt) and acceptance and withdrawal of tendered Old Notes in our sole discretion. We reserve the absolute right to reject any and all Old Notes not properly tendered or any Old Notes whose acceptance by us would, in the opinion of our counsel, be unlawful. We also reserve the right to waive any defects, irregularities or conditions of tender as to any particular Old Notes either before or after the expiration date. Our interpretation of the terms and conditions of the exchange offer (including the instructions in the accompanying letter of transmittal for book-entry notes) will be final and binding on all parties. Unless waived, any defects or irregularities in connection with tenders of Old Notes must be cured within a time period we will reasonably determine. Although we intend to request the exchange agent to notify holders of defects or irregularities relating to tenders of Old Notes, neither we, the exchange agent nor any other person will have any duty or incur any liability for failure to give such notification. Tenders of Old Notes will not be considered to have been made until such defects or irregularities have been cured or waived. If we waive any terms or conditions with respect to a noteholder, we will extend the same waiver to all noteholders with respect to that term or condition. Any Old Notes received by the exchange agent that are not validly tendered and as to which the defects or irregularities have not been cured or waived will be returned by the exchange agent, without expense, to the tendering holders, unless otherwise provided in the accompanying letter of transmittal, promptly following the expiration date of the exchange offer.</w:t>
      </w:r>
    </w:p>
    <w:p>
      <w:pPr>
        <w:spacing w:after="0" w:line="190"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All of the Old Notes were issued in book-entry form, and are currently represented by global certificates held for the account of DTC. Accordingly, DTC will be the only entity that can tender such Old Notes for New Notes. Therefore, to tender book-entry form Old Notes subject to the exchange offer and to obtain New Notes you must:</w:t>
      </w:r>
    </w:p>
    <w:p>
      <w:pPr>
        <w:spacing w:after="0" w:line="17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comply with DTC’s ATOP procedures described below; and</w:t>
      </w:r>
    </w:p>
    <w:p>
      <w:pPr>
        <w:spacing w:after="0" w:line="224" w:lineRule="exact"/>
        <w:rPr>
          <w:rFonts w:ascii="Arial" w:cs="Arial" w:eastAsia="Arial" w:hAnsi="Arial"/>
          <w:sz w:val="18"/>
          <w:szCs w:val="18"/>
          <w:b w:val="1"/>
          <w:bCs w:val="1"/>
          <w:color w:val="auto"/>
        </w:rPr>
      </w:pPr>
    </w:p>
    <w:p>
      <w:pPr>
        <w:ind w:left="1300" w:right="120" w:hanging="644"/>
        <w:spacing w:after="0" w:line="265" w:lineRule="auto"/>
        <w:tabs>
          <w:tab w:leader="none" w:pos="130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exchange agent must receive a timely confirmation of a book-entry transfer of the Old Notes into its account at DTC through ATOP pursuant to the procedure for book-entry transfer described below, along with a properly transmitted “agent’s message” (as defined below), before the expiration date of the exchange offer.</w:t>
      </w:r>
    </w:p>
    <w:p>
      <w:pPr>
        <w:spacing w:after="0" w:line="17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Following receipt, the exchange agent will establish an ATOP account with DTC for purposes of the exchange offer promptly after the commencement of the exchange offer. Any financial institution that is a DTC participant, including your broker or bank, may make a book-entry tender of outstanding Old Notes by causing the book-entry transfer of such Old Notes into our ATOP account in accordance with DTC’s procedures for such transfers. In connection with the transfer, DTC must send an “agent’s message” to the exchange agent on or prior to 5:00 p.m., New York City time, on the expiration date of the exchange offer.</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term “agent’s message” means a message transmitted by the DTC participants to DTC, and thereafter transmitted by DTC to the exchange agent, which states that DTC has received an express acknowledgement from the participant stating that such participant and beneficial holder agree to be bound by the terms of the exchange offer, including the letter of transmittal for book-entry notes, and that the agreement may be enforced against such participant.</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Each agent’s message must include the following information:</w:t>
      </w:r>
    </w:p>
    <w:p>
      <w:pPr>
        <w:spacing w:after="0" w:line="225"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name of the beneficial owner tendering such Old Notes;</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account number of the beneficial owner tendering such Old Notes;</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principal amount of Old Notes tendered by such beneficial owner; and</w:t>
      </w:r>
    </w:p>
    <w:p>
      <w:pPr>
        <w:spacing w:after="0" w:line="224" w:lineRule="exact"/>
        <w:rPr>
          <w:rFonts w:ascii="Arial" w:cs="Arial" w:eastAsia="Arial" w:hAnsi="Arial"/>
          <w:sz w:val="18"/>
          <w:szCs w:val="18"/>
          <w:b w:val="1"/>
          <w:bCs w:val="1"/>
          <w:color w:val="auto"/>
        </w:rPr>
      </w:pPr>
    </w:p>
    <w:p>
      <w:pPr>
        <w:ind w:left="1300" w:right="80" w:hanging="644"/>
        <w:spacing w:after="0" w:line="281" w:lineRule="auto"/>
        <w:tabs>
          <w:tab w:leader="none" w:pos="130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a confirmation that the beneficial owner of the Old Notes has made the representations for our benefit set forth under the section entitled “—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below.</w:t>
      </w:r>
    </w:p>
    <w:p>
      <w:pPr>
        <w:spacing w:after="0" w:line="162"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The delivery of the Old Notes through DTC, and any transmission of an agent’s message through ATOP, is at the election and risk of the person tendering Old Notes. If we do not accept any tendered Old Notes for exchange or if Old Notes are submitted for a greater principal amount than the holder desires to exchange, the unaccepted or non-exchanged Old Notes will be returned, without expense, to their tendering holder. Such non-exchanged Old Notes will be credited to an account maintained with DTC. These actions will occur promptly after the expiration or termination of the exchange offer.</w:t>
      </w:r>
    </w:p>
    <w:p>
      <w:pPr>
        <w:spacing w:after="0" w:line="16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tender by a holder of Old Notes that is not validly withdrawn prior to the expiration date of the exchange offer and that is accepted by us will constitute a binding agreement between us and the holder in accordance with the terms and subject to the conditions set forth in this prospectus and in the accompanying letter of transmittal. By using the ATOP procedures to exchange Old Notes, you will not be required to deliver such letter of transmittal to the exchange agent. However, you will be bound by its terms, and you will be deemed to have made the acknowledgements and the representations and warranties it contains, just as if you had signed it.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procedure for guaranteed late delivery of the book-entry form Old Notes.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tendering Old Notes, each holder is deemed to have represented to us that:</w:t>
      </w:r>
    </w:p>
    <w:p>
      <w:pPr>
        <w:spacing w:after="0" w:line="225"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New Notes that you receive will be acquired in the ordinary course of business;</w:t>
      </w:r>
    </w:p>
    <w:p>
      <w:pPr>
        <w:spacing w:after="0" w:line="224" w:lineRule="exact"/>
        <w:rPr>
          <w:rFonts w:ascii="Arial" w:cs="Arial" w:eastAsia="Arial" w:hAnsi="Arial"/>
          <w:sz w:val="18"/>
          <w:szCs w:val="18"/>
          <w:b w:val="1"/>
          <w:bCs w:val="1"/>
          <w:color w:val="auto"/>
        </w:rPr>
      </w:pPr>
    </w:p>
    <w:p>
      <w:pPr>
        <w:ind w:left="1300" w:right="40" w:hanging="644"/>
        <w:spacing w:after="0" w:line="281" w:lineRule="auto"/>
        <w:tabs>
          <w:tab w:leader="none" w:pos="130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have no arrangement or understanding with any person to participate in the distribution (within the meaning of the Securities Act) of the New Notes in violation of the provisions of the Securities Act;</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are not an “affiliate” (within the meaning of Rule 405 under the Securities Act); and</w:t>
      </w:r>
    </w:p>
    <w:p>
      <w:pPr>
        <w:spacing w:after="0" w:line="224" w:lineRule="exact"/>
        <w:rPr>
          <w:rFonts w:ascii="Arial" w:cs="Arial" w:eastAsia="Arial" w:hAnsi="Arial"/>
          <w:sz w:val="18"/>
          <w:szCs w:val="18"/>
          <w:b w:val="1"/>
          <w:bCs w:val="1"/>
          <w:color w:val="auto"/>
        </w:rPr>
      </w:pPr>
    </w:p>
    <w:p>
      <w:pPr>
        <w:jc w:val="both"/>
        <w:ind w:left="1300" w:hanging="644"/>
        <w:spacing w:after="0" w:line="265" w:lineRule="auto"/>
        <w:tabs>
          <w:tab w:leader="none" w:pos="130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you are a broker-dealer that will receive New Notes for your own account in exchange for Old Notes, you acquired those New Notes as a result of market-making or other trading activities and you will deliver a prospectus (or to the extent permitted by law, make available a prospectus to purchasers) in connection with any resale of such New Notes.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 Execution and Delivery of Letter of Transmittal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Generally, an eligible institution must guarantee signatures on a letter of transmittal or notice of withdrawal unless:</w:t>
      </w:r>
    </w:p>
    <w:p>
      <w:pPr>
        <w:spacing w:after="0" w:line="225" w:lineRule="exact"/>
        <w:rPr>
          <w:sz w:val="20"/>
          <w:szCs w:val="20"/>
          <w:color w:val="auto"/>
        </w:rPr>
      </w:pPr>
    </w:p>
    <w:p>
      <w:pPr>
        <w:ind w:left="1300" w:right="300" w:hanging="644"/>
        <w:spacing w:after="0" w:line="281" w:lineRule="auto"/>
        <w:tabs>
          <w:tab w:leader="none" w:pos="130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tender your Old Notes as the registered holder and the New Notes issued in exchange for your Old Notes are to be issued in your name and delivered to you at your registered address appearing on the security register for the Old Notes; or</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tender your Old Notes for the account of an eligible institution.</w:t>
      </w:r>
    </w:p>
    <w:p>
      <w:pPr>
        <w:spacing w:after="0" w:line="224"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For the purposes of this prospectus, an “eligible institution” means an “eligible guarantor institution” as defined by Rule 17Ad-15 under the Exchange Act which is a member of a recognized signature guarantee program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Securities Transfer Agents Medallion Program, Stock Exchange Medallion Program or New York Stock Exchange Medallion Signature Program).</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9" w:name="page30"/>
    <w:bookmarkEnd w:id="29"/>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the letter of transmittal is signed by the holder(s) of Old Notes tendered thereby, the signature(s) must correspond with the name(s) as written on the face of the Old Notes without alteration, enlargement or any change whatsoever. If any of the Old Notes tendered are held by two or more holders, all such holders must sign the letter of transmittal. If any of the Old Notes tendered thereby are registered in different names on different Old Notes, it will be necessary to complete, sign and submit as many separate letters of transmittal, and any accompanying documents, as there are different registrations of certificates.</w:t>
      </w:r>
    </w:p>
    <w:p>
      <w:pPr>
        <w:spacing w:after="0" w:line="183"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If Old Notes that are not tendered for exchange under the exchange offer are to be returned to a person other than the holder thereof, certificates for such Old Notes must be endorsed or accompanied by an appropriate instrument of transfer, signed exactly as the name of the registered owner appears on the certificates, with the signatures on the certificates or instruments of transfer guaranteed by an eligible institution.</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the letter of transmittal is signed by a person other than the holder of any Old Notes listed therein, those Old Notes must be properly endorsed or accompanied by a properly completed bond power, signed by such holder exactly as such holder’s name appears on such Old Notes. If the letter of transmittal or any Old Notes, bond powers or other instruments of transfer are signed by trustees, executors, administrators, guardians, attorneys-in-fact, officers of corporations or others acting in a fiduciary or representative capacity, those persons should so indicate when signing, and, unless waived by us, evidence satisfactory to us of their authority to so act must be submitted with the letter of transmittal.</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No alternative, conditional, irregular or contingent tenders will be accepted. By executing the letter of transmittal (or facsimile thereof), the tendering holders of Old Notes waive any right to receive any notice of the acceptance for exchange of their Old Notes. Tendering holders should indicate in the applicable box in the letter of transmittal the name and address to which payments and/or substitute certificates evidencing Old Notes for amounts not tendered or not exchanged are to be issued or sent, if different from the name and address of the person signing the letter of transmittal. If no such instructions are given, Old Notes not tendered or exchanged will be returned to the tendering holder.</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All questions as to the validity, form, eligibility (including time of receipt), and acceptance and withdrawal of tendered Old Notes will be determined by us in our absolute discretion, which determination will be final and binding. We reserve the absolute right to reject any and all tendered Old Notes determined by us not to be in proper form or not to be properly tendered or any tendered Old Notes our acceptance of which would, in the opinion of our counsel, be unlawful. We also reserve the right to waive, in our absolute discretion, any defects, irregularities or conditions of tender as to particular Old Notes, whether or not waived in the case of other Old Notes. Our interpretation of the terms and conditions of the exchange offer (including the instructions in the letter of transmittal) will be final and binding on all parties. Unless waived, any defects or irregularities in connection with tenders of Old Notes must be cured within such time as we will determine. Although we intend to notify holders of defects or irregularities with respect to tenders of Old Notes, neither we, the exchange agent nor any other person will be under any duty to give such notification or will incur any liability for failure to give any such notification. Tenders of Old Notes will not be deemed to have been made until such defects or irregularities have been cured or waived. Any holder whose Old Notes have been mutilated, lost, stolen or destroyed will be responsible for obtaining replacement securities or for arranging for indemnification with the trustee of the Old Notes. Holders may contact the exchange agent for assistance with these matters.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Tenders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this prospectus, you may validly withdraw your tender of Old Notes at any time prior to 5:00 p.m., New York City time, on the expiration date of the exchange offer. For a withdrawal to be effective you must comply with the appropriate procedures of DTC’s ATOP system. Any such notice of withdrawal must:</w:t>
      </w:r>
    </w:p>
    <w:p>
      <w:pPr>
        <w:spacing w:after="0" w:line="176"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specify the name of the tendering holder of Old Notes;</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specify the principal amount of the Old Notes delivered for exchange;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1300" w:hanging="644"/>
        <w:spacing w:after="0"/>
        <w:tabs>
          <w:tab w:leader="none" w:pos="130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include a statement that such holder is withdrawing its election to have such Old Notes exchanged; and</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specify the name and number of the account at DTC to be credited with the withdrawn Old Notes.</w:t>
      </w:r>
    </w:p>
    <w:p>
      <w:pPr>
        <w:spacing w:after="0" w:line="22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will determine all questions as to the validity, form and eligibility (including time of receipt) of such withdrawal notices. Any Old Notes so withdrawn will be considered not to have been validly tendered for purposes of the exchange offer, and no New Notes will be issued in exchange for such Old Notes unless the Old Notes withdrawn are validly re-tendered. Any Old Notes which have been tendered but which are not accepted for exchange or which are withdrawn will be returned to the holder, without expense to such holder, promptly after withdrawal, rejection of tender or termination of the exchange offer. Validly withdrawn Old Notes may be re-tendered by following one of the procedures described above under the section entitled “— </w:t>
      </w:r>
      <w:r>
        <w:rPr>
          <w:rFonts w:ascii="Times New Roman" w:cs="Times New Roman" w:eastAsia="Times New Roman" w:hAnsi="Times New Roman"/>
          <w:sz w:val="18"/>
          <w:szCs w:val="18"/>
          <w:i w:val="1"/>
          <w:iCs w:val="1"/>
          <w:color w:val="auto"/>
        </w:rPr>
        <w:t>Procedures for Tendering Old Notes</w:t>
      </w:r>
      <w:r>
        <w:rPr>
          <w:rFonts w:ascii="Times New Roman" w:cs="Times New Roman" w:eastAsia="Times New Roman" w:hAnsi="Times New Roman"/>
          <w:sz w:val="18"/>
          <w:szCs w:val="18"/>
          <w:color w:val="auto"/>
        </w:rPr>
        <w:t>” beginning on page 25, at any time prior to the expiration date of the exchange offer.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UMB Bank, N.A., the trustee under the indenture, has been appointed the exchange agent for this exchange offer. Questions, requests for assistance and requests for additional copies of this prospectus, the letter of transmittal and other related documents should be directed to the exchange agent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By Mail or Hand Delivery:</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UMB Bank, N.A.</w:t>
            </w:r>
          </w:p>
        </w:tc>
      </w:tr>
      <w:tr>
        <w:trPr>
          <w:trHeight w:val="216"/>
        </w:trPr>
        <w:tc>
          <w:tcPr>
            <w:tcW w:w="394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Attn: James Henry / Corporate Trust</w:t>
            </w:r>
          </w:p>
        </w:tc>
      </w:tr>
      <w:tr>
        <w:trPr>
          <w:trHeight w:val="216"/>
        </w:trPr>
        <w:tc>
          <w:tcPr>
            <w:tcW w:w="394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5555 San Felipe, Suite 870</w:t>
            </w:r>
          </w:p>
        </w:tc>
      </w:tr>
      <w:tr>
        <w:trPr>
          <w:trHeight w:val="234"/>
        </w:trPr>
        <w:tc>
          <w:tcPr>
            <w:tcW w:w="3940" w:type="dxa"/>
            <w:vAlign w:val="bottom"/>
          </w:tcPr>
          <w:p>
            <w:pPr>
              <w:spacing w:after="0"/>
              <w:rPr>
                <w:sz w:val="20"/>
                <w:szCs w:val="20"/>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Houston, Texas 77056</w:t>
            </w:r>
          </w:p>
        </w:tc>
      </w:tr>
      <w:tr>
        <w:trPr>
          <w:trHeight w:val="43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Telephone:</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(512) 582-5851</w:t>
            </w:r>
          </w:p>
        </w:tc>
        <w:tc>
          <w:tcPr>
            <w:tcW w:w="920" w:type="dxa"/>
            <w:vAlign w:val="bottom"/>
          </w:tcPr>
          <w:p>
            <w:pPr>
              <w:spacing w:after="0"/>
              <w:rPr>
                <w:sz w:val="24"/>
                <w:szCs w:val="24"/>
                <w:color w:val="auto"/>
              </w:rPr>
            </w:pPr>
          </w:p>
        </w:tc>
      </w:tr>
      <w:tr>
        <w:trPr>
          <w:trHeight w:val="43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Facsimile:</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(214) 389-5949</w:t>
            </w:r>
          </w:p>
        </w:tc>
        <w:tc>
          <w:tcPr>
            <w:tcW w:w="920" w:type="dxa"/>
            <w:vAlign w:val="bottom"/>
          </w:tcPr>
          <w:p>
            <w:pPr>
              <w:spacing w:after="0"/>
              <w:rPr>
                <w:sz w:val="24"/>
                <w:szCs w:val="24"/>
                <w:color w:val="auto"/>
              </w:rPr>
            </w:pPr>
          </w:p>
        </w:tc>
      </w:tr>
      <w:tr>
        <w:trPr>
          <w:trHeight w:val="39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james.henry@umb.com</w:t>
            </w:r>
          </w:p>
        </w:tc>
      </w:tr>
      <w:tr>
        <w:trPr>
          <w:trHeight w:val="20"/>
        </w:trPr>
        <w:tc>
          <w:tcPr>
            <w:tcW w:w="39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will pay the exchange agent reasonable and customary fees for its services (including attorneys’ fees) and will reimburse it for its reasonable, out-of-pocket expenses in connection with this exchange offer.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bear the expenses of soliciting tenders of the Old Notes and issuance of the New Notes. The principal solicitation is being made by 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we may make additional solicitations by email, telephone or in person by our officers and employees and those of our affiliates.</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not retained any dealer-manager in connection with the exchange offer and will not make any payments to broker-dealers or others soliciting acceptances of the exchange offer. As indicated above, we will, however, pay the exchange agent reasonable and customary fees for its services and reimburse it for its related reasonable out-of-pocket expenses. We will also pay any other cash expenses that we incur in connection with the exchange offer.</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Except as described below, we will pay all transfer taxes, if any, applicable to the exchange of Old Notes under the exchange offer. The tendering holder will be required to pay any transfer taxes, whether imposed on the registered holder or any other person, if:</w:t>
      </w:r>
    </w:p>
    <w:p>
      <w:pPr>
        <w:spacing w:after="0" w:line="162" w:lineRule="exact"/>
        <w:rPr>
          <w:sz w:val="20"/>
          <w:szCs w:val="20"/>
          <w:color w:val="auto"/>
        </w:rPr>
      </w:pPr>
    </w:p>
    <w:p>
      <w:pPr>
        <w:ind w:left="1300" w:hanging="644"/>
        <w:spacing w:after="0" w:line="281" w:lineRule="auto"/>
        <w:tabs>
          <w:tab w:leader="none" w:pos="130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New Notes and/or substitute Old Notes not exchanged are to be delivered to, or registered or issued in the name of, any person other than the registered holder of the Old Notes so exchanged;</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tendered Old Notes are registered in the name of any person other than the person signing such letter of transmittal; or</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transfer tax is imposed for any reason other than the exchange of Old Notes under the exchange offer.</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1" w:name="page32"/>
    <w:bookmarkEnd w:id="31"/>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If satisfactory evidence of payment of transfer taxes is not submitted with such letter of transmittal, the amount of any transfer taxes will be billed to the tendering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record the New Notes at the same carrying value as the Old Notes reflected in our accounting records on the date of the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will not recognize any gain or loss for accounting purposes upon completion of the exchange offer.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Old Notes that are not exchanged will be subject to the restrictions on transfer described in the Old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such Old Notes may not be offered, sold, pledged or otherwise transferred except:</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us or to any of our subsidiaries;</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under a registration statement which has been declared effective under the Securities Act;</w:t>
      </w:r>
    </w:p>
    <w:p>
      <w:pPr>
        <w:spacing w:after="0" w:line="224" w:lineRule="exact"/>
        <w:rPr>
          <w:rFonts w:ascii="Arial" w:cs="Arial" w:eastAsia="Arial" w:hAnsi="Arial"/>
          <w:sz w:val="18"/>
          <w:szCs w:val="18"/>
          <w:b w:val="1"/>
          <w:bCs w:val="1"/>
          <w:color w:val="auto"/>
        </w:rPr>
      </w:pPr>
    </w:p>
    <w:p>
      <w:pPr>
        <w:ind w:left="1300" w:hanging="644"/>
        <w:spacing w:after="0" w:line="260" w:lineRule="auto"/>
        <w:tabs>
          <w:tab w:leader="none" w:pos="130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so long as the Old Notes are eligible for resale pursuant to Rule 144A under the Securities Act, to a person the holder of the Old Notes and any person acting on its behalf reasonably believes is a “qualified institutional buyer” as defined in Rule 144A, that purchases for its own account or for the account of another qualified institutional buyer, in each case to whom notice is given that the transfer is being made in reliance on Rule 144A; or</w:t>
      </w:r>
    </w:p>
    <w:p>
      <w:pPr>
        <w:spacing w:after="0" w:line="182" w:lineRule="exact"/>
        <w:rPr>
          <w:rFonts w:ascii="Arial" w:cs="Arial" w:eastAsia="Arial" w:hAnsi="Arial"/>
          <w:sz w:val="18"/>
          <w:szCs w:val="18"/>
          <w:b w:val="1"/>
          <w:bCs w:val="1"/>
          <w:color w:val="auto"/>
        </w:rPr>
      </w:pPr>
    </w:p>
    <w:p>
      <w:pPr>
        <w:jc w:val="both"/>
        <w:ind w:left="1300" w:right="60" w:hanging="644"/>
        <w:spacing w:after="0" w:line="265" w:lineRule="auto"/>
        <w:tabs>
          <w:tab w:leader="none" w:pos="130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under any other available exemption from the registration requirements of the Securities Act (in which case we and the trustee shall have the right to require the delivery of an opinion of counsel (at the holder’s sole cost), certifications and/or other information satisfactory to us and the trustee);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subject to compliance with any applicable foreign, state or other securities laws.</w:t>
      </w:r>
    </w:p>
    <w:p>
      <w:pPr>
        <w:spacing w:after="0" w:line="22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Upon completion of the exchange offer, due to the restrictions on transfer of the Old Notes and the absence of such restrictions applicable to the New Notes, it is likely that the market, if any, for Old Notes will be relatively less liquid than the market for New Notes. Consequently, holders of Old Notes who do not participate in the exchange offer could experience significant diminution in the value of their Old Notes, compared to the value of the New Notes. The holders of Old Notes not tendered will have no further registration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Regarding the Registration Rights Agreement</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As noted above, we are effecting the exchange offer to comply with the registration rights agreements. The registration rights agreements require us to cause an exchange offer registration statement to be filed with the SEC under the Securities Act, use our commercially reasonable efforts to cause the registration statement to become effective, and satisfy certain other obligations, within certain time periods.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that:</w:t>
      </w:r>
    </w:p>
    <w:p>
      <w:pPr>
        <w:spacing w:after="0" w:line="225"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registration statement is not filed with the SEC on or prior to the ninetieth (90th) day after March 12, 2026;</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registration statement is not declared effective by the SEC on or prior to the one-hundred fiftieth (150th) day after March 12, 2026;</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exchange offer is not consummated within forty-five (45) days following the effective date of the registration statement;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2" w:name="page33"/>
    <w:bookmarkEnd w:id="32"/>
    <w:p>
      <w:pPr>
        <w:ind w:left="1300" w:right="200" w:hanging="644"/>
        <w:spacing w:after="0" w:line="265" w:lineRule="auto"/>
        <w:tabs>
          <w:tab w:leader="none" w:pos="130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required, a shelf registration statement is not filed with the SEC on or prior to (A) the one-hundred eightieth (180th) day following March 12, 2026 or (B) the sixtieth (60th) day after the obligation to file a shelf registration statement with the SEC arises, whichever is later;</w:t>
      </w:r>
    </w:p>
    <w:p>
      <w:pPr>
        <w:spacing w:after="0" w:line="177" w:lineRule="exact"/>
        <w:rPr>
          <w:rFonts w:ascii="Arial" w:cs="Arial" w:eastAsia="Arial" w:hAnsi="Arial"/>
          <w:sz w:val="18"/>
          <w:szCs w:val="18"/>
          <w:b w:val="1"/>
          <w:bCs w:val="1"/>
          <w:color w:val="auto"/>
        </w:rPr>
      </w:pPr>
    </w:p>
    <w:p>
      <w:pPr>
        <w:ind w:left="1300" w:right="60" w:hanging="644"/>
        <w:spacing w:after="0" w:line="265" w:lineRule="auto"/>
        <w:tabs>
          <w:tab w:leader="none" w:pos="130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required, a shelf registration statement is not effective on or prior to (A) the two-hundred twenty-fifth (225th) day following March 12, 2026 or (B) the one-hundred fifth (105th) day after an obligation to file with the SEC a shelf registration statement arises, whichever is later;</w:t>
      </w:r>
    </w:p>
    <w:p>
      <w:pPr>
        <w:spacing w:after="0" w:line="177" w:lineRule="exact"/>
        <w:rPr>
          <w:rFonts w:ascii="Arial" w:cs="Arial" w:eastAsia="Arial" w:hAnsi="Arial"/>
          <w:sz w:val="18"/>
          <w:szCs w:val="18"/>
          <w:b w:val="1"/>
          <w:bCs w:val="1"/>
          <w:color w:val="auto"/>
        </w:rPr>
      </w:pPr>
    </w:p>
    <w:p>
      <w:pPr>
        <w:ind w:left="1300" w:hanging="644"/>
        <w:spacing w:after="0" w:line="255" w:lineRule="auto"/>
        <w:tabs>
          <w:tab w:leader="none" w:pos="130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shelf registration statement is effective with the SEC but such shelf registration statement ceases to be effective or such shelf registration statement or the prospectus included therein ceases to be usable in connection with resales of the registrable securities for any act or omission of the Company and (A) the aggregate number of days in any consecutive three-hundred sixty-five (365)-day period for which the shelf registration statement or such prospectus shall not be effective or usable exceeds one-hundred twenty (120) days, (B) the shelf registration statement or such prospectus shall not be effective or usable for more than two (2) periods (regardless of duration) in any consecutive three-hundred sixty-five (365)-day period, or (C) the shelf registration statement or such prospectus shall not be effective or usable for a period of more than ninety (90) consecutive days; or</w:t>
      </w:r>
    </w:p>
    <w:p>
      <w:pPr>
        <w:spacing w:after="0" w:line="187" w:lineRule="exact"/>
        <w:rPr>
          <w:rFonts w:ascii="Arial" w:cs="Arial" w:eastAsia="Arial" w:hAnsi="Arial"/>
          <w:sz w:val="18"/>
          <w:szCs w:val="18"/>
          <w:b w:val="1"/>
          <w:bCs w:val="1"/>
          <w:color w:val="auto"/>
        </w:rPr>
      </w:pPr>
    </w:p>
    <w:p>
      <w:pPr>
        <w:ind w:left="1300" w:hanging="644"/>
        <w:spacing w:after="0" w:line="254" w:lineRule="auto"/>
        <w:tabs>
          <w:tab w:leader="none" w:pos="130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registration statement is effective with the SEC but, if the registration statement is being used in connection with the resale of the New Notes, the registration statement ceases to be effective or the registration statement or the prospectus included therein ceases to be usable in connection with resales of New Notes due to any act or omission of the Company during the one-hundred eighty (180)-day period following the last date on which exchanges are accepted and (A) the aggregate number of days in any consecutive three-hundred sixty-five (365)-day period for which the registration statement or such prospectus shall not be effective or usable exceeds one-hundred twenty (120) days, (B) the registration statement or such prospectus shall not be effective or usable for more than two (2) periods (regardless of duration) in any consecutive three-hundred sixty-five (365)-day period, or (C) the registration statement or the prospectus shall not be effective or usable for a period of more than ninety (90) consecutive days;</w:t>
      </w:r>
    </w:p>
    <w:p>
      <w:pPr>
        <w:spacing w:after="0" w:line="19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interest rate on the Old Notes will be increased by 0.25% per annum immediately following the applicable date of such registration default and will increase by an additional 0.25% per annum immediately following each ninety (90)-day period during which additional interest accrues, but in no event will such increase exceed 0.50% per annum. If at any time more than one registration default has occurred and is continuing, the increase in interest rate will apply as if there occurred a single registration default that begins on the date that the earliest such registration default occurred and ends on such date that there is no registration default. Following the cure of all such registration defaults, the accrual of additional interest will cease and the interest rate will be reduced to the original interest rate borne by the Old Notes.</w:t>
      </w:r>
    </w:p>
    <w:p>
      <w:pPr>
        <w:spacing w:after="0" w:line="18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obligation to register the New Notes will terminate upon completion of the exchange offer. However, under certain limited circumstances specified in the registration rights agreements, we may be required to file a shelf registration statement for a continuous offer in connection with the Old Notes.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March 12, 2026, we issued $35,000,000 in aggregate principal amount of our 7.25% Fixed-to-Floating Rate Subordinated Notes due 2036, which we have referred to in this prospectus as the Old Notes. The Old Notes were issued in a private placement transaction to certain qualified institutional buyers and accredited investors, and as such, were not registered under the Securities Act. The Old Notes were issued under an indenture dated March 12, 2026, between Hanover Bancorp, Inc., as issuer, and UMB Bank, N.A., as trustee, which we have referred to in this prospectus as the “indenture.” The term “notes” refers collectively to the Old Notes and the New Notes.</w:t>
      </w:r>
    </w:p>
    <w:p>
      <w:pPr>
        <w:spacing w:after="0" w:line="18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New Notes will be issued under the indenture and will evidence the same debt as the Old Notes. The terms of the New Notes are identical in all material respects to those of the Old Notes, except that:</w:t>
      </w:r>
    </w:p>
    <w:p>
      <w:pPr>
        <w:spacing w:after="0" w:line="162" w:lineRule="exact"/>
        <w:rPr>
          <w:sz w:val="20"/>
          <w:szCs w:val="20"/>
          <w:color w:val="auto"/>
        </w:rPr>
      </w:pPr>
    </w:p>
    <w:p>
      <w:pPr>
        <w:ind w:left="1300" w:right="440" w:hanging="644"/>
        <w:spacing w:after="0" w:line="281" w:lineRule="auto"/>
        <w:tabs>
          <w:tab w:leader="none" w:pos="130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New Notes have been registered with the SEC under the Securities Act and, as a result, will not bear any legend restricting their transfer;</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New Notes bear a different CUSIP number from the Old Notes;</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New Notes generally will not be subject to transfer restrictions;</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New Notes will not be entitled to registration rights under the registration rights agreements or otherwise; and</w:t>
      </w:r>
    </w:p>
    <w:p>
      <w:pPr>
        <w:spacing w:after="0" w:line="224" w:lineRule="exact"/>
        <w:rPr>
          <w:rFonts w:ascii="Arial" w:cs="Arial" w:eastAsia="Arial" w:hAnsi="Arial"/>
          <w:sz w:val="18"/>
          <w:szCs w:val="18"/>
          <w:b w:val="1"/>
          <w:bCs w:val="1"/>
          <w:color w:val="auto"/>
        </w:rPr>
      </w:pPr>
    </w:p>
    <w:p>
      <w:pPr>
        <w:ind w:left="1300" w:right="240" w:hanging="644"/>
        <w:spacing w:after="0" w:line="281" w:lineRule="auto"/>
        <w:tabs>
          <w:tab w:leader="none" w:pos="130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because the New Notes will not be entitled to registration rights, holders of the New Notes will not have the right to additional interest under the circumstances described in the registration rights agreements relating to our fulfillment of our registration obligations.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New Notes will be issued only in fully registered form without interest coupons, in minimum denominations of $100,000 and any integral multiple of $1,000 in excess thereof. Unless otherwise required for accredited investors, the New Notes will be evidenced by a global note deposited with the trustee for the New Notes, as custodian for The Depository Trust Company, or DTC, and transfers of beneficial interests will be facilitated only through records maintained by DTC and its participants.</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terms of the New Notes include those stated in the indenture and those made part of the indenture by reference to the Trust Indenture Act of 1939, as amended (the “Trust Indenture Act”).</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following provides a summary of certain terms of the indenture and the New Notes. This summary is qualified in its entirety by reference to the complete version of the indenture, which is incorporated by reference as an exhibit to the registration statement of which this prospectus is a part and to the form of New Notes, which is included as an exhibit to the registration statement of which this prospectus is a part. We urge you to read the indenture and the form of New Notes because those documents, not this summary description, define your rights as holders of the New Notes. Whenever we refer to the defined terms of the indenture in this prospectus without defining them, the terms have the meanings given to them in the indenture. You must look to the indenture for the most complete description of the information summarized in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exchange offer for the New Notes will be for up to $35,000,000 in aggregate principal amount of the Old Notes. The New Notes, together with any Old Notes that remain outstanding after the exchange offer, will be treated as a single class for all purposes of the indenture, including, without limitation, waivers, consents, amendments, redemptions and offers to purchase.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New Notes have materially identical interest terms as the Old Notes except with respect to additional interest that may be earned on the Old Notes under circumstances relating to our registration obligations under the registration rights agreements. Interest on the notes will accrue from and including March 12, 2026. The notes will mature and become payable, unless earlier redeemed, on March 15, 2036.</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4" w:name="page35"/>
    <w:bookmarkEnd w:id="34"/>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From and including March 12, 2026 to, but excluding, March 15, 2031 or any earlier redemption date (the “Fixed Rate Period”), the New Notes will bear interest at a fixed rate equal to 7.25% per year, payable semi-annually in arrears on March 15 and September 15 of each year, beginning on September 15, 2026 (each such date, a “Fixed Rate Interest Payment Date”). During this Fixed Rate Period, the amount of interest payable on any Fixed Rate Interest Payment Date will be computed on the basis of a 360-day year consisting of twelve 30-day months.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From and including March 15, 2031 to but excluding the maturity date or earlier redemption date (the “Floating Rate Period”), the New Notes will bear interest at a floating rate, reset quarterly, equal to a Benchmark rate (which is expected to be then-current Three-Month Term SOFR), plus 386 basis points, or such other rate as determined pursuant to the indenture, payable quarterly in arrears on March 15, June 15, September 15 and December 15 of each year commencing on March 15, 2031 (each such date, a “Floating Rate Interest Payment Date” and, together with a Fixed Rate Interest Payment Date, an “Interest Payment Date”). Notwithstanding the foregoing, if Three-Month Term SOFR (or other applicable Benchmark) is less than zero, then Three-Month Term SOFR (or other such Benchmark) shall be deemed to be zero. The Calculation Agent will provide the Company and the trustee with the interest rate in effect on the notes promptly after the Reference Time (or such other date of determination for the applicable Benchmark). During this Floating Rate Period, the amount of interest payable on any Floating Rate Interest Payment Date will be computed on the basis of a 360-day year and on the basis of the actual number of days elapsed.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regard to Three-Month Term SOFR:</w:t>
      </w:r>
    </w:p>
    <w:p>
      <w:pPr>
        <w:spacing w:after="0" w:line="225" w:lineRule="exact"/>
        <w:rPr>
          <w:sz w:val="20"/>
          <w:szCs w:val="20"/>
          <w:color w:val="auto"/>
        </w:rPr>
      </w:pPr>
    </w:p>
    <w:p>
      <w:pPr>
        <w:ind w:left="1300" w:right="360" w:hanging="644"/>
        <w:spacing w:after="0" w:line="281" w:lineRule="auto"/>
        <w:tabs>
          <w:tab w:leader="none" w:pos="130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“SOFR” means the secured overnight financing rate published by the Federal Reserve Bank of New York, as the administrator of the benchmark (or a successor administrator), on the Federal Reserve Bank of New York’s Website.</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“Term SOFR” means the forward-looking term rate based on SOFR and published by the Term SOFR Administrator.</w:t>
      </w:r>
    </w:p>
    <w:p>
      <w:pPr>
        <w:spacing w:after="0" w:line="224" w:lineRule="exact"/>
        <w:rPr>
          <w:rFonts w:ascii="Arial" w:cs="Arial" w:eastAsia="Arial" w:hAnsi="Arial"/>
          <w:sz w:val="18"/>
          <w:szCs w:val="18"/>
          <w:b w:val="1"/>
          <w:bCs w:val="1"/>
          <w:color w:val="auto"/>
        </w:rPr>
      </w:pPr>
    </w:p>
    <w:p>
      <w:pPr>
        <w:ind w:left="1300" w:right="220" w:hanging="644"/>
        <w:spacing w:after="0" w:line="281" w:lineRule="auto"/>
        <w:tabs>
          <w:tab w:leader="none" w:pos="130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“Term SOFR Administrator” means CME Group Benchmark Administration Limited (CBA) (or a successor administrator of the Term SOFR Reference Rate selected by the Calculation Agent in its reasonable discretion).</w:t>
      </w:r>
    </w:p>
    <w:p>
      <w:pPr>
        <w:spacing w:after="0" w:line="162" w:lineRule="exact"/>
        <w:rPr>
          <w:rFonts w:ascii="Arial" w:cs="Arial" w:eastAsia="Arial" w:hAnsi="Arial"/>
          <w:sz w:val="18"/>
          <w:szCs w:val="18"/>
          <w:b w:val="1"/>
          <w:bCs w:val="1"/>
          <w:color w:val="auto"/>
        </w:rPr>
      </w:pPr>
    </w:p>
    <w:p>
      <w:pPr>
        <w:ind w:left="1300" w:hanging="644"/>
        <w:spacing w:after="0" w:line="260" w:lineRule="auto"/>
        <w:tabs>
          <w:tab w:leader="none" w:pos="130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“Three-Month Term SOFR” means the rate for Term SOFR for a tenor of three months that is published by the Term SOFR Administrator at the Reference Time for any interest period, as determined by the Calculation Agent after giving effect to the Three-Month Term SOFR Conventions. All percentages used in or resulting from any calculation of Three-Month Term SOFR shall be rounded, if necessary, to the nearest one-hundred-thousandth of a percentage point, with 0.000005% rounded up to 0.00001%.</w:t>
      </w:r>
    </w:p>
    <w:p>
      <w:pPr>
        <w:spacing w:after="0" w:line="182" w:lineRule="exact"/>
        <w:rPr>
          <w:rFonts w:ascii="Arial" w:cs="Arial" w:eastAsia="Arial" w:hAnsi="Arial"/>
          <w:sz w:val="18"/>
          <w:szCs w:val="18"/>
          <w:b w:val="1"/>
          <w:bCs w:val="1"/>
          <w:color w:val="auto"/>
        </w:rPr>
      </w:pPr>
    </w:p>
    <w:p>
      <w:pPr>
        <w:ind w:left="1300" w:right="40" w:hanging="644"/>
        <w:spacing w:after="0" w:line="254" w:lineRule="auto"/>
        <w:tabs>
          <w:tab w:leader="none" w:pos="130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“Three-Month Term SOFR Conventions” means any determination, decision or election with respect to any technical, administrative or operational matter (including with respect to the manner and timing of the publication of Three-Month Term SOFR, or changes to the definition of “interest period,” timing and frequency of determining Three-Month Term SOFR with respect to each interest period and making payments of interest, rounding of amounts or tenors, and other administrative matters) that the Calculation Agent decides may be appropriate to reflect the use of Three-Month Term SOFR as the Benchmark in a manner substantially consistent with market practice (or, if the Calculation Agent decides that adoption of any portion of such market practice is not administratively feasible or if the Calculation Agent determines that no market practice for the use of Three-Month Term SOFR exists, in such other manner as the Calculation Agent determines is reasonably necessary).</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determining a Benchmark Replacement, if necessary, under the terms of the notes:</w:t>
      </w:r>
    </w:p>
    <w:p>
      <w:pPr>
        <w:spacing w:after="0" w:line="225" w:lineRule="exact"/>
        <w:rPr>
          <w:sz w:val="20"/>
          <w:szCs w:val="20"/>
          <w:color w:val="auto"/>
        </w:rPr>
      </w:pPr>
    </w:p>
    <w:p>
      <w:pPr>
        <w:jc w:val="both"/>
        <w:ind w:left="1300" w:right="120" w:hanging="644"/>
        <w:spacing w:after="0" w:line="260" w:lineRule="auto"/>
        <w:tabs>
          <w:tab w:leader="none" w:pos="130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“Benchmark” means, initially, Three-Month Term SOFR; provided that if the Calculation Agent determines on or prior to the Reference Time for any Floating Rate Period that a Benchmark Transition Event and its related Benchmark Replacement Date have occurred with respect to Three-Month Term SOFR or the then-current Benchmark, then “Benchmark” means the applicable Benchmark Replacement for such Floating Rate Period and any subsequent Floating Rate Periods.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 w:name="page36"/>
    <w:bookmarkEnd w:id="35"/>
    <w:p>
      <w:pPr>
        <w:ind w:left="644" w:hanging="644"/>
        <w:spacing w:after="0" w:line="256" w:lineRule="auto"/>
        <w:tabs>
          <w:tab w:leader="none" w:pos="644"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“Benchmark Replacement” means the Interpolated Benchmark with respect to the then-current Benchmark, plus the Benchmark Replacement Adjustment for such Benchmark; provided that if (a) the Calculation Agent cannot determine the Interpolated Benchmark as of the Benchmark Replacement Date or (b) the then-current Benchmark is Three-Month Term SOFR and a Benchmark Transition Event and its related Benchmark Replacement Date have occurred with respect to Three-Month Term SOFR (in which event no Interpolated Benchmark with respect to Three-Month Term SOFR shall be determined), then “Benchmark Replacement” means the first alternative set forth in the order below that can be determined by the Calculation Agent, as of the Benchmark Replacement Date:</w:t>
      </w:r>
    </w:p>
    <w:p>
      <w:pPr>
        <w:spacing w:after="0" w:line="186" w:lineRule="exact"/>
        <w:rPr>
          <w:rFonts w:ascii="Arial" w:cs="Arial" w:eastAsia="Arial" w:hAnsi="Arial"/>
          <w:sz w:val="18"/>
          <w:szCs w:val="18"/>
          <w:b w:val="1"/>
          <w:bCs w:val="1"/>
          <w:color w:val="auto"/>
        </w:rPr>
      </w:pPr>
    </w:p>
    <w:p>
      <w:pPr>
        <w:ind w:left="1304" w:hanging="656"/>
        <w:spacing w:after="0"/>
        <w:tabs>
          <w:tab w:leader="none" w:pos="13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Compounded SOFR and (ii) the Benchmark Replacement Adjustment;</w:t>
      </w:r>
    </w:p>
    <w:p>
      <w:pPr>
        <w:spacing w:after="0" w:line="225" w:lineRule="exact"/>
        <w:rPr>
          <w:rFonts w:ascii="Times New Roman" w:cs="Times New Roman" w:eastAsia="Times New Roman" w:hAnsi="Times New Roman"/>
          <w:sz w:val="18"/>
          <w:szCs w:val="18"/>
          <w:color w:val="auto"/>
        </w:rPr>
      </w:pPr>
    </w:p>
    <w:p>
      <w:pPr>
        <w:ind w:left="1304" w:right="240" w:hanging="656"/>
        <w:spacing w:after="0" w:line="266" w:lineRule="auto"/>
        <w:tabs>
          <w:tab w:leader="none" w:pos="13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alternate rate of interest that has been selected or recommended by the Relevant Governmental Body as the replacement for the then-current Benchmark for the applicable Corresponding Tenor and (ii) the Benchmark Replacement Adjustment;</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ISDA Fallback Rate and (ii) the Benchmark Replacement Adjustment; or</w:t>
      </w:r>
    </w:p>
    <w:p>
      <w:pPr>
        <w:spacing w:after="0" w:line="225" w:lineRule="exact"/>
        <w:rPr>
          <w:rFonts w:ascii="Times New Roman" w:cs="Times New Roman" w:eastAsia="Times New Roman" w:hAnsi="Times New Roman"/>
          <w:sz w:val="18"/>
          <w:szCs w:val="18"/>
          <w:color w:val="auto"/>
        </w:rPr>
      </w:pPr>
    </w:p>
    <w:p>
      <w:pPr>
        <w:ind w:left="1304" w:right="80" w:hanging="656"/>
        <w:spacing w:after="0" w:line="261" w:lineRule="auto"/>
        <w:tabs>
          <w:tab w:leader="none" w:pos="13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alternate rate that has been selected by the Calculation Agent as the replacement for the then-current Benchmark for the applicable Corresponding Tenor, giving due consideration to any industry-accepted rate as a replacement for the then-current Benchmark for U.S. Dollar-denominated floating rate securities at such time, and (ii) the Benchmark Replacement Adjustment.</w:t>
      </w:r>
    </w:p>
    <w:p>
      <w:pPr>
        <w:spacing w:after="0" w:line="180" w:lineRule="exact"/>
        <w:rPr>
          <w:sz w:val="20"/>
          <w:szCs w:val="20"/>
          <w:color w:val="auto"/>
        </w:rPr>
      </w:pPr>
    </w:p>
    <w:p>
      <w:pPr>
        <w:ind w:left="644" w:right="580"/>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(a), (b), (c) or (d) above would be less than zero, the Benchmark Replacement will be deemed to be zero.</w:t>
      </w:r>
    </w:p>
    <w:p>
      <w:pPr>
        <w:spacing w:after="0" w:line="162" w:lineRule="exact"/>
        <w:rPr>
          <w:sz w:val="20"/>
          <w:szCs w:val="20"/>
          <w:color w:val="auto"/>
        </w:rPr>
      </w:pPr>
    </w:p>
    <w:p>
      <w:pPr>
        <w:ind w:left="644" w:right="120" w:hanging="644"/>
        <w:spacing w:after="0" w:line="281" w:lineRule="auto"/>
        <w:tabs>
          <w:tab w:leader="none" w:pos="644"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“Benchmark Replacement Adjustment” means the first alternative set forth in the order below that can be determined by the Calculation Agent, as of the Benchmark Replacement Date:</w:t>
      </w:r>
    </w:p>
    <w:p>
      <w:pPr>
        <w:spacing w:after="0" w:line="162" w:lineRule="exact"/>
        <w:rPr>
          <w:rFonts w:ascii="Arial" w:cs="Arial" w:eastAsia="Arial" w:hAnsi="Arial"/>
          <w:sz w:val="18"/>
          <w:szCs w:val="18"/>
          <w:b w:val="1"/>
          <w:bCs w:val="1"/>
          <w:color w:val="auto"/>
        </w:rPr>
      </w:pPr>
    </w:p>
    <w:p>
      <w:pPr>
        <w:ind w:left="1304" w:right="220" w:hanging="656"/>
        <w:spacing w:after="0" w:line="266" w:lineRule="auto"/>
        <w:tabs>
          <w:tab w:leader="none" w:pos="130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or method for calculating or determining such spread adjustment, (which may be a positive or negative value or zero), that has been selected or recommended by the Relevant Governmental Body for the applicable Unadjusted Benchmark Replacement, if any;</w:t>
      </w:r>
    </w:p>
    <w:p>
      <w:pPr>
        <w:spacing w:after="0" w:line="175" w:lineRule="exact"/>
        <w:rPr>
          <w:rFonts w:ascii="Times New Roman" w:cs="Times New Roman" w:eastAsia="Times New Roman" w:hAnsi="Times New Roman"/>
          <w:sz w:val="18"/>
          <w:szCs w:val="18"/>
          <w:color w:val="auto"/>
        </w:rPr>
      </w:pPr>
    </w:p>
    <w:p>
      <w:pPr>
        <w:ind w:left="1304" w:right="700" w:hanging="656"/>
        <w:spacing w:after="0" w:line="282" w:lineRule="auto"/>
        <w:tabs>
          <w:tab w:leader="none" w:pos="130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Unadjusted Benchmark Replacement is equivalent to the ISDA Fallback Rate, then the ISDA Fallback Adjustment; or</w:t>
      </w:r>
    </w:p>
    <w:p>
      <w:pPr>
        <w:spacing w:after="0" w:line="161" w:lineRule="exact"/>
        <w:rPr>
          <w:rFonts w:ascii="Times New Roman" w:cs="Times New Roman" w:eastAsia="Times New Roman" w:hAnsi="Times New Roman"/>
          <w:sz w:val="18"/>
          <w:szCs w:val="18"/>
          <w:color w:val="auto"/>
        </w:rPr>
      </w:pPr>
    </w:p>
    <w:p>
      <w:pPr>
        <w:ind w:left="1304" w:hanging="656"/>
        <w:spacing w:after="0" w:line="261" w:lineRule="auto"/>
        <w:tabs>
          <w:tab w:leader="none" w:pos="130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(which may be a positive or negative value or zero) that has been selected by the Calculation Agent giving due consideration to any industry-accepted spread adjustment, or method for calculating or determining such spread adjustment, for the replacement of the then-current Benchmark with the applicable Unadjusted Benchmark Replacement for U.S. Dollar-denominated floating rate securities at such time.</w:t>
      </w:r>
    </w:p>
    <w:p>
      <w:pPr>
        <w:spacing w:after="0" w:line="179" w:lineRule="exact"/>
        <w:rPr>
          <w:rFonts w:ascii="Times New Roman" w:cs="Times New Roman" w:eastAsia="Times New Roman" w:hAnsi="Times New Roman"/>
          <w:sz w:val="18"/>
          <w:szCs w:val="18"/>
          <w:color w:val="auto"/>
        </w:rPr>
      </w:pPr>
    </w:p>
    <w:p>
      <w:pPr>
        <w:ind w:left="644" w:right="120" w:hanging="644"/>
        <w:spacing w:after="0" w:line="255" w:lineRule="auto"/>
        <w:tabs>
          <w:tab w:leader="none" w:pos="644"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“Benchmark Replacement Conforming Changes” means, with respect to any Benchmark Replacement, any technical, administrative or operational changes (including changes to the definition of “interest period,” timing and frequency of determining rates with respect to each interest period and making payments of interest, rounding of amounts or tenors and other administrative matters) that the Calculation Agent decides may be appropriate to reflect the adoption of such Benchmark Replacement in a manner substantially consistent with market practice (or, if the Calculation Agent decides that adoption of any portion of such market practice is not administratively feasible or if the Calculation Agent determines that no market practice for use of the Benchmark Replacement exists, in such other manner as the Calculation Agent determines is reasonably necessary).</w:t>
      </w:r>
    </w:p>
    <w:p>
      <w:pPr>
        <w:spacing w:after="0" w:line="200" w:lineRule="exact"/>
        <w:rPr>
          <w:sz w:val="20"/>
          <w:szCs w:val="20"/>
          <w:color w:val="auto"/>
        </w:rPr>
      </w:pPr>
    </w:p>
    <w:p>
      <w:pPr>
        <w:spacing w:after="0" w:line="20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6" w:name="page37"/>
    <w:bookmarkEnd w:id="36"/>
    <w:p>
      <w:pPr>
        <w:ind w:left="1300" w:hanging="644"/>
        <w:spacing w:after="0"/>
        <w:tabs>
          <w:tab w:leader="none" w:pos="130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“Benchmark Replacement Date” means the earliest to occur of the following events with respect to the then-current Benchmark:</w:t>
      </w:r>
    </w:p>
    <w:p>
      <w:pPr>
        <w:spacing w:after="0" w:line="224" w:lineRule="exact"/>
        <w:rPr>
          <w:rFonts w:ascii="Arial" w:cs="Arial" w:eastAsia="Arial" w:hAnsi="Arial"/>
          <w:sz w:val="18"/>
          <w:szCs w:val="18"/>
          <w:b w:val="1"/>
          <w:bCs w:val="1"/>
          <w:color w:val="auto"/>
        </w:rPr>
      </w:pPr>
    </w:p>
    <w:p>
      <w:pPr>
        <w:ind w:left="1960" w:right="540" w:hanging="656"/>
        <w:spacing w:after="0" w:line="282" w:lineRule="auto"/>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of the definition of “Benchmark Transition Event,” the relevant Reference Time in respect of any determination;</w:t>
      </w:r>
    </w:p>
    <w:p>
      <w:pPr>
        <w:spacing w:after="0" w:line="161" w:lineRule="exact"/>
        <w:rPr>
          <w:rFonts w:ascii="Times New Roman" w:cs="Times New Roman" w:eastAsia="Times New Roman" w:hAnsi="Times New Roman"/>
          <w:sz w:val="18"/>
          <w:szCs w:val="18"/>
          <w:color w:val="auto"/>
        </w:rPr>
      </w:pPr>
    </w:p>
    <w:p>
      <w:pPr>
        <w:ind w:left="1960" w:right="60" w:hanging="656"/>
        <w:spacing w:after="0" w:line="266" w:lineRule="auto"/>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(b) or (c) of the definition of “Benchmark Transition Event,” the later of (i) the date of the public statement or publication of information referenced therein and (ii) the date on which the administrator of the Benchmark permanently or indefinitely ceases to provide the Benchmark; or</w:t>
      </w:r>
    </w:p>
    <w:p>
      <w:pPr>
        <w:spacing w:after="0" w:line="175" w:lineRule="exact"/>
        <w:rPr>
          <w:rFonts w:ascii="Times New Roman" w:cs="Times New Roman" w:eastAsia="Times New Roman" w:hAnsi="Times New Roman"/>
          <w:sz w:val="18"/>
          <w:szCs w:val="18"/>
          <w:color w:val="auto"/>
        </w:rPr>
      </w:pPr>
    </w:p>
    <w:p>
      <w:pPr>
        <w:ind w:left="1960" w:right="300" w:hanging="656"/>
        <w:spacing w:after="0" w:line="282" w:lineRule="auto"/>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(d) of the definition of “Benchmark Transition Event,” the date of the public statement or publication of information referenced therein.</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for purposes of the definitions of Benchmark Replacement Date and Benchmark Transition Event, references to the Benchmark also include any reference rate underlying the Benchmark (for example, if the Benchmark becomes Compounded SOFR, references to the Benchmark would include SOFR).</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spacing w:after="0" w:line="176"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“Benchmark Transition Event” means the occurrence of one or more of the following events with respect to the then-current Benchmark:</w:t>
      </w:r>
    </w:p>
    <w:p>
      <w:pPr>
        <w:spacing w:after="0" w:line="224" w:lineRule="exact"/>
        <w:rPr>
          <w:rFonts w:ascii="Arial" w:cs="Arial" w:eastAsia="Arial" w:hAnsi="Arial"/>
          <w:sz w:val="18"/>
          <w:szCs w:val="18"/>
          <w:b w:val="1"/>
          <w:bCs w:val="1"/>
          <w:color w:val="auto"/>
        </w:rPr>
      </w:pPr>
    </w:p>
    <w:p>
      <w:pPr>
        <w:ind w:left="1960" w:right="320" w:hanging="656"/>
        <w:spacing w:after="0" w:line="282" w:lineRule="auto"/>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Benchmark is Three-Month Term SOFR, the Calculation Agent determines that the use of a forward-looking rate for a tenor of three months based on SOFR is not administratively feasible;</w:t>
      </w:r>
    </w:p>
    <w:p>
      <w:pPr>
        <w:spacing w:after="0" w:line="161" w:lineRule="exact"/>
        <w:rPr>
          <w:rFonts w:ascii="Times New Roman" w:cs="Times New Roman" w:eastAsia="Times New Roman" w:hAnsi="Times New Roman"/>
          <w:sz w:val="18"/>
          <w:szCs w:val="18"/>
          <w:color w:val="auto"/>
        </w:rPr>
      </w:pPr>
    </w:p>
    <w:p>
      <w:pPr>
        <w:ind w:left="1960" w:right="120" w:hanging="656"/>
        <w:spacing w:after="0" w:line="266" w:lineRule="auto"/>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w:t>
      </w:r>
    </w:p>
    <w:p>
      <w:pPr>
        <w:spacing w:after="0" w:line="175" w:lineRule="exact"/>
        <w:rPr>
          <w:rFonts w:ascii="Times New Roman" w:cs="Times New Roman" w:eastAsia="Times New Roman" w:hAnsi="Times New Roman"/>
          <w:sz w:val="18"/>
          <w:szCs w:val="18"/>
          <w:color w:val="auto"/>
        </w:rPr>
      </w:pPr>
    </w:p>
    <w:p>
      <w:pPr>
        <w:ind w:left="1960" w:right="40" w:hanging="656"/>
        <w:spacing w:after="0" w:line="256" w:lineRule="auto"/>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w:t>
      </w:r>
    </w:p>
    <w:p>
      <w:pPr>
        <w:spacing w:after="0" w:line="187"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announcing that the Benchmark is no longer representative.</w:t>
      </w:r>
    </w:p>
    <w:p>
      <w:pPr>
        <w:spacing w:after="0" w:line="161" w:lineRule="exact"/>
        <w:rPr>
          <w:rFonts w:ascii="Times New Roman" w:cs="Times New Roman" w:eastAsia="Times New Roman" w:hAnsi="Times New Roman"/>
          <w:sz w:val="18"/>
          <w:szCs w:val="18"/>
          <w:color w:val="auto"/>
        </w:rPr>
      </w:pPr>
    </w:p>
    <w:p>
      <w:pPr>
        <w:ind w:left="1300" w:right="60" w:hanging="644"/>
        <w:spacing w:after="0" w:line="311" w:lineRule="auto"/>
        <w:tabs>
          <w:tab w:leader="none" w:pos="1300" w:val="left"/>
        </w:tabs>
        <w:numPr>
          <w:ilvl w:val="0"/>
          <w:numId w:val="27"/>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“Calculation Agent” means the agent appointed by the Company prior to the commencement of the Floating Rate Period (which may include the Company or any of its Affiliates) to act in accordance with Section 2.13. The initial Calculation Agent shall be the Company.</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ind w:left="1300" w:right="60" w:hanging="644"/>
        <w:spacing w:after="0" w:line="260" w:lineRule="auto"/>
        <w:tabs>
          <w:tab w:leader="none" w:pos="130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“Compounded SOFR” means the compounded average of SOFRs for the applicable Corresponding Tenor, with the rate, or methodology for this rate, and conventions for this rate being established by the Calculation Agent in accordance with the rate, or methodology for this rate, and conventions for this rate that have been selected by the Calculation Agent giving due consideration to any industry-accepted market practice for U.S. Dollar-denominated floating rate securities at such time.</w:t>
      </w:r>
    </w:p>
    <w:p>
      <w:pPr>
        <w:spacing w:after="0" w:line="18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the calculation of Compounded SOFR shall exclude the Benchmark Replacement Adjustment (if applicable) and the spread specified in the indenture.</w:t>
      </w:r>
    </w:p>
    <w:p>
      <w:pPr>
        <w:spacing w:after="0" w:line="162" w:lineRule="exact"/>
        <w:rPr>
          <w:sz w:val="20"/>
          <w:szCs w:val="20"/>
          <w:color w:val="auto"/>
        </w:rPr>
      </w:pPr>
    </w:p>
    <w:p>
      <w:pPr>
        <w:jc w:val="both"/>
        <w:ind w:left="1300" w:right="720" w:hanging="644"/>
        <w:spacing w:after="0" w:line="265" w:lineRule="auto"/>
        <w:tabs>
          <w:tab w:leader="none" w:pos="130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“Corresponding Tenor” means (i) with respect to Three-Month Term SOFR, three months, and (ii) with respect to a Benchmark Replacement, a tenor (including overnight) having approximately the same length (disregarding business day adjustment) as the applicable tenor for the then-current Benchmark.</w:t>
      </w:r>
    </w:p>
    <w:p>
      <w:pPr>
        <w:spacing w:after="0" w:line="177" w:lineRule="exact"/>
        <w:rPr>
          <w:rFonts w:ascii="Arial" w:cs="Arial" w:eastAsia="Arial" w:hAnsi="Arial"/>
          <w:sz w:val="18"/>
          <w:szCs w:val="18"/>
          <w:b w:val="1"/>
          <w:bCs w:val="1"/>
          <w:color w:val="auto"/>
        </w:rPr>
      </w:pPr>
    </w:p>
    <w:p>
      <w:pPr>
        <w:ind w:left="1300" w:right="220" w:hanging="644"/>
        <w:spacing w:after="0" w:line="260" w:lineRule="auto"/>
        <w:tabs>
          <w:tab w:leader="none" w:pos="130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“Interpolated Benchmark” with respect to the Benchmark means the rate determined for the Corresponding Tenor by interpolating on a linear basis between: (1) the Benchmark for the longest period (for which the Benchmark is available) that is shorter than the Corresponding Tenor and (2) the Benchmark for the shortest period (for which the Benchmark is available) that is longer than the Corresponding Tenor.</w:t>
      </w:r>
    </w:p>
    <w:p>
      <w:pPr>
        <w:spacing w:after="0" w:line="182" w:lineRule="exact"/>
        <w:rPr>
          <w:rFonts w:ascii="Arial" w:cs="Arial" w:eastAsia="Arial" w:hAnsi="Arial"/>
          <w:sz w:val="18"/>
          <w:szCs w:val="18"/>
          <w:b w:val="1"/>
          <w:bCs w:val="1"/>
          <w:color w:val="auto"/>
        </w:rPr>
      </w:pPr>
    </w:p>
    <w:p>
      <w:pPr>
        <w:ind w:left="1300" w:right="280" w:hanging="644"/>
        <w:spacing w:after="0" w:line="265" w:lineRule="auto"/>
        <w:tabs>
          <w:tab w:leader="none" w:pos="130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“ISDA Definitions” means the 2021 ISDA Interest Rate Derivatives Definitions published by the International Swaps and Derivatives Association, Inc. or any successor thereto, as amended or supplemented from time to time, or any successor definitional booklet for interest rate derivatives published from time to time.</w:t>
      </w:r>
    </w:p>
    <w:p>
      <w:pPr>
        <w:spacing w:after="0" w:line="177" w:lineRule="exact"/>
        <w:rPr>
          <w:rFonts w:ascii="Arial" w:cs="Arial" w:eastAsia="Arial" w:hAnsi="Arial"/>
          <w:sz w:val="18"/>
          <w:szCs w:val="18"/>
          <w:b w:val="1"/>
          <w:bCs w:val="1"/>
          <w:color w:val="auto"/>
        </w:rPr>
      </w:pPr>
    </w:p>
    <w:p>
      <w:pPr>
        <w:ind w:left="1300" w:right="120" w:hanging="644"/>
        <w:spacing w:after="0" w:line="265" w:lineRule="auto"/>
        <w:tabs>
          <w:tab w:leader="none" w:pos="130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spacing w:after="0" w:line="177" w:lineRule="exact"/>
        <w:rPr>
          <w:rFonts w:ascii="Arial" w:cs="Arial" w:eastAsia="Arial" w:hAnsi="Arial"/>
          <w:sz w:val="18"/>
          <w:szCs w:val="18"/>
          <w:b w:val="1"/>
          <w:bCs w:val="1"/>
          <w:color w:val="auto"/>
        </w:rPr>
      </w:pPr>
    </w:p>
    <w:p>
      <w:pPr>
        <w:jc w:val="both"/>
        <w:ind w:left="1300" w:right="60" w:hanging="644"/>
        <w:spacing w:after="0" w:line="265" w:lineRule="auto"/>
        <w:tabs>
          <w:tab w:leader="none" w:pos="130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177" w:lineRule="exact"/>
        <w:rPr>
          <w:rFonts w:ascii="Arial" w:cs="Arial" w:eastAsia="Arial" w:hAnsi="Arial"/>
          <w:sz w:val="18"/>
          <w:szCs w:val="18"/>
          <w:b w:val="1"/>
          <w:bCs w:val="1"/>
          <w:color w:val="auto"/>
        </w:rPr>
      </w:pPr>
    </w:p>
    <w:p>
      <w:pPr>
        <w:ind w:left="1300" w:right="120" w:hanging="644"/>
        <w:spacing w:after="0" w:line="260" w:lineRule="auto"/>
        <w:tabs>
          <w:tab w:leader="none" w:pos="130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“Reference Time” with respect to any determination of a Benchmark means (1) if the Benchmark is Three-Month Term SOFR, the time determined by the Calculation Agent after giving effect to the Three-Month Term SOFR Conventions, and (2) if the Benchmark is not Three-Month Term SOFR, the time determined by the Calculation Agent after giving effect to the Benchmark Replacement Conforming Changes.</w:t>
      </w:r>
    </w:p>
    <w:p>
      <w:pPr>
        <w:spacing w:after="0" w:line="182" w:lineRule="exact"/>
        <w:rPr>
          <w:rFonts w:ascii="Arial" w:cs="Arial" w:eastAsia="Arial" w:hAnsi="Arial"/>
          <w:sz w:val="18"/>
          <w:szCs w:val="18"/>
          <w:b w:val="1"/>
          <w:bCs w:val="1"/>
          <w:color w:val="auto"/>
        </w:rPr>
      </w:pPr>
    </w:p>
    <w:p>
      <w:pPr>
        <w:ind w:left="1300" w:right="280" w:hanging="644"/>
        <w:spacing w:after="0" w:line="281" w:lineRule="auto"/>
        <w:tabs>
          <w:tab w:leader="none" w:pos="130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“Relevant Governmental Body” means the Federal Reserve and/or the FRBNY, or a committee officially endorsed or convened by the Federal Reserve and/or the FRBNY or any successor thereto.</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“Unadjusted Benchmark Replacement” means the Benchmark Replacement excluding any Benchmark Replacement Adjustment.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will make each interest payment during the Fixed Rate Period and the Floating Rate Period to the holders of record of the notes at the close of business on the fifteenth calendar day (whether or not a business day) immediately preceding the applicable Fixed Rate Interest Payment Date and Floating Rate Interest Payment Date. Principal of and interest on the notes will be payable, and the notes will be exchangeable and transferable, at the office or agency that we have designated and maintain for such purposes, which, initially, will be the corporate trust office of the trustee located at UMB Bank, N.A., 5555 San Felipe, Suite 870, Houston, Texas 77056, Attention: James Henry; except that payment of interest may be made at our option by check mailed or to the person entitled thereto as shown on the security register or by transfer to an account maintained with a bank located in the United States and appropriately designated by the person entitled thereto.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obligation to make any payment on account of the principal of, or interest on, the notes will be subordinate and junior in right of payment to the prior payment in full of all of our senior indebtedness. As of March 31, 2026, the Company and its subsidiaries had total outstanding liabilities, excluding intercompany liabilities, of $2.2 billion. This amount included $2.0 billion in aggregate principal amount of deposit liabilities of the Bank, all of which rank structurally senior to the notes. The notes and the indenture do not contain any limitation on the amount of senior indebtedness that we may incur in the future.</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term “senior indebtedness” means any obligation of the Company to its creditors, whether now outstanding or subsequently incurred, other than any obligation where, in the instrument creating or evidencing the obligation or pursuant to which the obligation is outstanding, it is provided that the obligation is not senior indebtedness. senior indebtedness includes, without limitation:</w:t>
      </w:r>
    </w:p>
    <w:p>
      <w:pPr>
        <w:spacing w:after="0" w:line="176" w:lineRule="exact"/>
        <w:rPr>
          <w:sz w:val="20"/>
          <w:szCs w:val="20"/>
          <w:color w:val="auto"/>
        </w:rPr>
      </w:pPr>
    </w:p>
    <w:p>
      <w:pPr>
        <w:ind w:left="1300" w:right="100" w:hanging="644"/>
        <w:spacing w:after="0" w:line="265" w:lineRule="auto"/>
        <w:tabs>
          <w:tab w:leader="none" w:pos="130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principal (and premium, if any) of and interest in respect of indebtedness of the Company for borrowed money, whether or not evidenced by securities, notes, debentures, bonds or other similar instruments issued by the Company, including obligations incurred in connection with the acquisition of property, assets or businesses;</w:t>
      </w:r>
    </w:p>
    <w:p>
      <w:pPr>
        <w:spacing w:after="0" w:line="177"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all capital lease obligations of the Company;</w:t>
      </w:r>
    </w:p>
    <w:p>
      <w:pPr>
        <w:spacing w:after="0" w:line="224" w:lineRule="exact"/>
        <w:rPr>
          <w:rFonts w:ascii="Arial" w:cs="Arial" w:eastAsia="Arial" w:hAnsi="Arial"/>
          <w:sz w:val="18"/>
          <w:szCs w:val="18"/>
          <w:b w:val="1"/>
          <w:bCs w:val="1"/>
          <w:color w:val="auto"/>
        </w:rPr>
      </w:pPr>
    </w:p>
    <w:p>
      <w:pPr>
        <w:jc w:val="both"/>
        <w:ind w:left="1300" w:right="460" w:hanging="644"/>
        <w:spacing w:after="0" w:line="265" w:lineRule="auto"/>
        <w:tabs>
          <w:tab w:leader="none" w:pos="130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all obligations of the Company issued or assumed as the deferred purchase price of property, all conditional sale obligations of the Company and all obligations of the Company under any conditional sale or title retention agreement, but excluding trade accounts payable in the ordinary course of business;</w:t>
      </w:r>
    </w:p>
    <w:p>
      <w:pPr>
        <w:spacing w:after="0" w:line="177" w:lineRule="exact"/>
        <w:rPr>
          <w:rFonts w:ascii="Arial" w:cs="Arial" w:eastAsia="Arial" w:hAnsi="Arial"/>
          <w:sz w:val="18"/>
          <w:szCs w:val="18"/>
          <w:b w:val="1"/>
          <w:bCs w:val="1"/>
          <w:color w:val="auto"/>
        </w:rPr>
      </w:pPr>
    </w:p>
    <w:p>
      <w:pPr>
        <w:ind w:left="1300" w:right="20" w:hanging="644"/>
        <w:spacing w:after="0" w:line="281" w:lineRule="auto"/>
        <w:tabs>
          <w:tab w:leader="none" w:pos="130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all obligations of the Company arising from off-balance sheet guarantees and direct credit substitutes, including obligations in respect of any letters of credit, bankers’ acceptance, security purchase facilities and similar credit transactions;</w:t>
      </w:r>
    </w:p>
    <w:p>
      <w:pPr>
        <w:spacing w:after="0" w:line="162" w:lineRule="exact"/>
        <w:rPr>
          <w:rFonts w:ascii="Arial" w:cs="Arial" w:eastAsia="Arial" w:hAnsi="Arial"/>
          <w:sz w:val="18"/>
          <w:szCs w:val="18"/>
          <w:b w:val="1"/>
          <w:bCs w:val="1"/>
          <w:color w:val="auto"/>
        </w:rPr>
      </w:pPr>
    </w:p>
    <w:p>
      <w:pPr>
        <w:ind w:left="1300" w:right="220" w:hanging="644"/>
        <w:spacing w:after="0" w:line="265" w:lineRule="auto"/>
        <w:tabs>
          <w:tab w:leader="none" w:pos="130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all obligations of the Company associated with derivative products, including obligations in respect of interest rate swap, cap or other agreements, interest rate future or options contracts, currency swap agreements, currency future or option contracts and other similar agreements;</w:t>
      </w:r>
    </w:p>
    <w:p>
      <w:pPr>
        <w:spacing w:after="0" w:line="177" w:lineRule="exact"/>
        <w:rPr>
          <w:rFonts w:ascii="Arial" w:cs="Arial" w:eastAsia="Arial" w:hAnsi="Arial"/>
          <w:sz w:val="18"/>
          <w:szCs w:val="18"/>
          <w:b w:val="1"/>
          <w:bCs w:val="1"/>
          <w:color w:val="auto"/>
        </w:rPr>
      </w:pPr>
    </w:p>
    <w:p>
      <w:pPr>
        <w:ind w:left="1300" w:right="180" w:hanging="644"/>
        <w:spacing w:after="0" w:line="281" w:lineRule="auto"/>
        <w:tabs>
          <w:tab w:leader="none" w:pos="130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all obligations of the type referred to in the first five (5) bullet points above of other persons for the payment of which the Company is responsible or liable as obligor, guarantor or otherwise;</w:t>
      </w:r>
    </w:p>
    <w:p>
      <w:pPr>
        <w:spacing w:after="0" w:line="162" w:lineRule="exact"/>
        <w:rPr>
          <w:rFonts w:ascii="Arial" w:cs="Arial" w:eastAsia="Arial" w:hAnsi="Arial"/>
          <w:sz w:val="18"/>
          <w:szCs w:val="18"/>
          <w:b w:val="1"/>
          <w:bCs w:val="1"/>
          <w:color w:val="auto"/>
        </w:rPr>
      </w:pPr>
    </w:p>
    <w:p>
      <w:pPr>
        <w:ind w:left="1300" w:right="80" w:hanging="644"/>
        <w:spacing w:after="0" w:line="281" w:lineRule="auto"/>
        <w:tabs>
          <w:tab w:leader="none" w:pos="130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all obligations of the type referred to in the first six (6) bullet points above of other persons secured by any lien on any property or asset of the Company whether or not such obligation is assumed by the Company; and</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deferrals, renewals or extensions of any obligations of the type referred to in the first seven (7) bullet points above.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However, “senior indebtedness” excludes:</w:t>
      </w:r>
    </w:p>
    <w:p>
      <w:pPr>
        <w:spacing w:after="0" w:line="225"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notes;</w:t>
      </w:r>
    </w:p>
    <w:p>
      <w:pPr>
        <w:spacing w:after="0" w:line="224" w:lineRule="exact"/>
        <w:rPr>
          <w:rFonts w:ascii="Arial" w:cs="Arial" w:eastAsia="Arial" w:hAnsi="Arial"/>
          <w:sz w:val="18"/>
          <w:szCs w:val="18"/>
          <w:b w:val="1"/>
          <w:bCs w:val="1"/>
          <w:color w:val="auto"/>
        </w:rPr>
      </w:pPr>
    </w:p>
    <w:p>
      <w:pPr>
        <w:ind w:left="1300" w:right="460" w:hanging="644"/>
        <w:spacing w:after="0" w:line="281" w:lineRule="auto"/>
        <w:tabs>
          <w:tab w:leader="none" w:pos="130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Company’s $25.0 million in aggregate principal amount of its Fixed-to-Floating Rate Subordinated Notes due 2030, which the Company redeemed in April 2026;</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trade accounts payable arising in the ordinary course of business; or</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indebtedness that by its terms is subordinated to, or ranks on an equal basis with, the notes.</w:t>
      </w: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39" w:name="page40"/>
    <w:bookmarkEnd w:id="39"/>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subordination provisions of the indenture and the notes, we are permitted to make payments of accrued and unpaid interest on the notes on the interest payment dates and at maturity and to pay the principal of the notes at maturity unless:</w:t>
      </w:r>
    </w:p>
    <w:p>
      <w:pPr>
        <w:spacing w:after="0" w:line="162" w:lineRule="exact"/>
        <w:rPr>
          <w:sz w:val="20"/>
          <w:szCs w:val="20"/>
          <w:color w:val="auto"/>
        </w:rPr>
      </w:pPr>
    </w:p>
    <w:p>
      <w:pPr>
        <w:ind w:left="1300" w:right="220" w:hanging="644"/>
        <w:spacing w:after="0" w:line="311" w:lineRule="auto"/>
        <w:tabs>
          <w:tab w:leader="none" w:pos="1300" w:val="left"/>
        </w:tabs>
        <w:numPr>
          <w:ilvl w:val="0"/>
          <w:numId w:val="32"/>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we are subject to any termination, winding up, liquidation or reorganization, whether in bankruptcy, insolvency, reorganization or receivership proceedings or upon an assignment for the benefit of our creditors or any other marshalling of our assets and liabilities; or</w:t>
      </w:r>
    </w:p>
    <w:p>
      <w:pPr>
        <w:spacing w:after="0" w:line="140" w:lineRule="exact"/>
        <w:rPr>
          <w:rFonts w:ascii="Arial" w:cs="Arial" w:eastAsia="Arial" w:hAnsi="Arial"/>
          <w:sz w:val="17"/>
          <w:szCs w:val="17"/>
          <w:b w:val="1"/>
          <w:bCs w:val="1"/>
          <w:color w:val="auto"/>
        </w:rPr>
      </w:pPr>
    </w:p>
    <w:p>
      <w:pPr>
        <w:ind w:left="1300" w:right="60" w:hanging="644"/>
        <w:spacing w:after="0" w:line="258" w:lineRule="auto"/>
        <w:tabs>
          <w:tab w:leader="none" w:pos="130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default in the payment of principal of, or premium, if any, or interest on, any senior indebtedness, has occurred and is continuing beyond any applicable grace period or an event of default has occurred and is continuing with respect to any senior indebtedness, or would occur as a result of a payment of principal of, or interest on, the notes being made and that event of default would permit the holders of any senior indebtedness to accelerate the maturity of that senior indebtedness and such default or event of default has not been cured, waived or otherwise have ceased to exist.</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Upon our termination, winding up, liquidation or reorganization, whether in bankruptcy, insolvency, reorganization or receivership proceedings or upon an assignment for the benefit of our creditors or any other marshalling of our assets and liabilities or otherwise, we must pay to the holders of all of our senior indebtedness the full amounts of principal of, and premium, if any, and interest on, that senior indebtedness before any payment is made on the notes. If, after we have paid the senior indebtedness in full, there are any amounts available for payment of the notes and any of our other indebtedness and obligations ranking equally in right of payment with the notes, then we will use such remaining assets to pay the amounts of principal of, premium, if any, and accrued and unpaid interest on, the notes and such other of our indebtedness and obligations that rank equally in right of payment with the notes. If those assets are insufficient to pay in full the principal of, premium, if any, and interest on the notes and such other indebtedness and obligations, those assets will be applicable ratably to the payment of such amounts owing with respect to the notes and such other indebtedness and obligations.</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the event that we are subject to any termination, winding up, liquidation or reorganization, whether in bankruptcy, insolvency, reorganization or receivership proceedings or upon an assignment for the benefit of our creditors or any other marshalling of our assets and liabilities or otherwise, if the holders of the notes receive for any reason any payment on the notes or other distributions of our assets with respect to the notes before all of our senior indebtedness is paid in full, the holders of the notes will be required to return that payment or distribution to the bankruptcy trustee, receiver, liquidating trustee, custodian, assignee, agent or other person making payment of our assets for all our senior indebtedness remaining unpaid until all that senior indebtedness has been paid in full, after giving effect to any other concurrent payment or distribution to the holders of such senior indebtedness.</w:t>
      </w:r>
    </w:p>
    <w:p>
      <w:pPr>
        <w:spacing w:after="0" w:line="187" w:lineRule="exact"/>
        <w:rPr>
          <w:sz w:val="20"/>
          <w:szCs w:val="20"/>
          <w:color w:val="auto"/>
        </w:rPr>
      </w:pPr>
    </w:p>
    <w:p>
      <w:pPr>
        <w:ind w:right="520" w:firstLine="648"/>
        <w:spacing w:after="0" w:line="312" w:lineRule="auto"/>
        <w:rPr>
          <w:sz w:val="20"/>
          <w:szCs w:val="20"/>
          <w:color w:val="auto"/>
        </w:rPr>
      </w:pPr>
      <w:r>
        <w:rPr>
          <w:rFonts w:ascii="Times New Roman" w:cs="Times New Roman" w:eastAsia="Times New Roman" w:hAnsi="Times New Roman"/>
          <w:sz w:val="17"/>
          <w:szCs w:val="17"/>
          <w:color w:val="auto"/>
        </w:rPr>
        <w:t>As a result of the subordination of the notes in favor of the holders of our senior indebtedness, in the event of our bankruptcy or insolvency, holders of our senior indebtedness may receive more, ratably, and holders of the notes may receive less, ratably, than our other creditors.</w:t>
      </w:r>
    </w:p>
    <w:p>
      <w:pPr>
        <w:spacing w:after="0" w:line="14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All liabilities of the Bank, including deposits and liabilities to general creditors arising during its ordinary course of business or otherwise, will be effectively senior in right of payment to the notes to the extent of the assets of the subsidiary because, as a shareholder of the subsidiary, we do not have any rights to the assets of the subsidiary except if the subsidiary declares a dividend payable to us or if there are assets of the subsidiary remaining after it has discharged its liabilities to its creditors in connection with its liquidation. As of March 31, 2026, the Company and its subsidiaries had total outstanding liabilities, excluding intercompany liabilities, of $2.2 billion. Over the term of the notes, we will need to rely primarily on dividends paid to us by the Bank, which is a regulated and supervised depository institution, for the funds necessary to pay the interest on our outstanding debt obligations and to make dividends and other payments on our other securities outstanding now or in the future. With respect to the payment of the principal of the notes at their maturity, we may rely on the funds we receive from dividends paid to us by the Bank but may have to rely on the proceeds of borrowings and/or the sale of other securities to pay the principal amount of the notes. Regulatory rules may restrict the Bank’s ability to pay dividends or make other distributions to us or provide funds to us by other means. As a result, with respect to the assets of the Bank, our creditors (including the holders of the notes) are structurally subordinated to the prior claims of creditors of the Bank, including its depositors, except to the extent that we may be a creditor with recognized claims against the Bank.</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may, at our option, redeem the notes, in whole or in part, beginning with the interest payment date of March 15, 2031 and on any interest payment date thereafter. In addition, at our option, we may redeem the notes in whole but not in part, at any time upon the occurrence of:</w:t>
      </w:r>
    </w:p>
    <w:p>
      <w:pPr>
        <w:spacing w:after="0" w:line="162" w:lineRule="exact"/>
        <w:rPr>
          <w:sz w:val="20"/>
          <w:szCs w:val="20"/>
          <w:color w:val="auto"/>
        </w:rPr>
      </w:pPr>
    </w:p>
    <w:p>
      <w:pPr>
        <w:ind w:left="1300" w:right="160" w:hanging="644"/>
        <w:spacing w:after="0" w:line="253" w:lineRule="auto"/>
        <w:tabs>
          <w:tab w:leader="none" w:pos="130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“Tier 2 Capital Event,” which is defined in the indenture to mean the Company’s good faith determination that, as a result of (a) any amendment to, or change in, the laws, rules or regulations of the United States (including, for the avoidance of doubt, any agency or instrumentality of the United States, including the Federal Reserve and other federal bank regulatory agencies) or any political subdivision of or in the United States that is enacted or becomes effective after the issue date of the notes; (b) any proposed change in those laws, rules or regulations that is announced or becomes effective after the issue date of the notes; or (c) any official administrative decision or judicial decision or administrative action or other official pronouncement interpreting or applying those laws, rules, regulations, policies or guidelines with respect thereto that is announced after the issue date of the notes, there is more than an insubstantial risk that the Company will not be entitled to treat the notes then outstanding as “Tier 2 Capital” (or its equivalent) for purposes of the capital adequacy rules or regulations of the Federal Reserve (or its designee) (or, as and if applicable, the capital adequacy rules or regulations of any successor appropriate federal banking agency) as then in effect and applicable to the Company, for so long as any notes are outstanding;</w:t>
      </w:r>
    </w:p>
    <w:p>
      <w:pPr>
        <w:spacing w:after="0" w:line="191" w:lineRule="exact"/>
        <w:rPr>
          <w:rFonts w:ascii="Arial" w:cs="Arial" w:eastAsia="Arial" w:hAnsi="Arial"/>
          <w:sz w:val="18"/>
          <w:szCs w:val="18"/>
          <w:b w:val="1"/>
          <w:bCs w:val="1"/>
          <w:color w:val="auto"/>
        </w:rPr>
      </w:pPr>
    </w:p>
    <w:p>
      <w:pPr>
        <w:ind w:left="1300" w:right="20" w:hanging="644"/>
        <w:spacing w:after="0" w:line="253" w:lineRule="auto"/>
        <w:tabs>
          <w:tab w:leader="none" w:pos="130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“Tax Event,” which is defined in the indenture to mean the receipt by the Company of an opinion of independent tax counsel to the effect that as a result of (a) an amendment to or change (including any announced prospective amendment or change) in any law or treaty, or any regulation thereunder, of the United States or any of its political subdivisions or taxing authorities; (b) a judicial decision, administrative action, official administrative pronouncement, ruling, regulatory procedure, regulation, notice or announcement, including any notice or announcement of intent to adopt or promulgate any ruling, regulatory procedure or regulation (any of the foregoing, an “Administrative or Judicial Action”); or (c) an amendment to or change in any official position with respect to, or any interpretation of, an Administrative or Judicial Action or a law or regulation of the United States that differs from the previously generally accepted position or interpretation, in each case, which change or amendment or challenge becomes effective or which pronouncement, decision or challenge is announced on or after the issue date of the notes, there is more than an insubstantial risk that interest payable by the Company on the notes is not, or, within ninety (90) days of the date of such opinion, will not be, deductible by the Company, in whole or in part, for United States federal income tax purposes; or</w:t>
      </w:r>
    </w:p>
    <w:p>
      <w:pPr>
        <w:spacing w:after="0" w:line="191" w:lineRule="exact"/>
        <w:rPr>
          <w:rFonts w:ascii="Arial" w:cs="Arial" w:eastAsia="Arial" w:hAnsi="Arial"/>
          <w:sz w:val="18"/>
          <w:szCs w:val="18"/>
          <w:b w:val="1"/>
          <w:bCs w:val="1"/>
          <w:color w:val="auto"/>
        </w:rPr>
      </w:pPr>
    </w:p>
    <w:p>
      <w:pPr>
        <w:ind w:left="1300" w:right="560" w:hanging="644"/>
        <w:spacing w:after="0" w:line="281" w:lineRule="auto"/>
        <w:tabs>
          <w:tab w:leader="none" w:pos="130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“Investment Company Event,” means any event whereby the Company becomes required to register as an investment company pursuant to the Investment Company Act of 1940, as amended.</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Any redemption of the New Notes will be subject to prior approval of the Federal Reserve or any successor agency, and any other bank regulatory agency, to the extent such approval shall then be required by law, regulation or policy. Any redemption of the New Notes will be at a redemption price equal to the principal amount of the New Notes, or portion thereof, to be redeemed plus accrued and unpaid interest to, but excluding, the date of redemption. Any redemption of the New Notes will be subject to any required regulatory approvals.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less than all of the notes are to be redeemed, the notes will be redeemed on a pro rata basis.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Notices of redemption will be mailed by first class mail at least thirty (30) but no more than sixty (60) days before the redemption date to each holder of notes to be redeemed at its registered address. If any note is to be redeemed in part only, the notice of redemption that relates to that note will state the portion of the principal amount thereof to be redeemed. A new note in principal amount equal to the unredeemed portion of the original note, if any, will be issued in the name of the holder thereof upon cancellation of the original note. Notes called for redemption become due on the date fixed for redemption. On and after the redemption date, interest ceases to accrue on notes or portions of them called for redemption.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Repurchases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purchase notes at any time on the open market or otherwise. If we purchase notes in this manner, we have the discretion to hold, resell or surrender the notes to the trustee under the indenture for cancellation.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Sinking Fund; Non-Convertible</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notes will not be entitled to the benefit of any sinking fund. This means that we will not deposit money on a regular basis into any separate custodial account to repay the notes. The notes are not convertible into, or exchangeable for, any of our equity securities, other securities or assets of the Company or any subsidiary.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Denomination, Transfer, Exchange and Book-Entry Procedures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notes will be issued only in fully registered form, without interest coupons, and in minimum denominations of $100,000 and integral multiples of $1,000.</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Unless otherwise required for accredited investors, the notes will be evidenced by a global note which will be deposited with, or on behalf of, DTC, or any successor thereto, and registered in the name of Cede &amp; Co., or Cede, as nominee of DTC. Except as set forth below, record ownership of the global note may be transferred, in whole or in part, only to another nominee of DTC or to a successor of DTC or its nominee. If New Notes are issued to accredited investors in certificated form, the New Notes will be transferable only on the records of the trustee and may not be exchanged for a beneficial interest in the global note unless the exchange occurs in connection with a transfer where the transferor and transferee provide evidence satisfactory to the trustee and DTC that the transferee is eligible to hold a beneficial interest in the global note.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global note will not be registered in the name of any person, or exchanged for notes that are registered in the name of any person, other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or its nominee, unless one of the following occurs:</w:t>
      </w:r>
    </w:p>
    <w:p>
      <w:pPr>
        <w:spacing w:after="0" w:line="207" w:lineRule="exact"/>
        <w:rPr>
          <w:sz w:val="20"/>
          <w:szCs w:val="20"/>
          <w:color w:val="auto"/>
        </w:rPr>
      </w:pPr>
    </w:p>
    <w:p>
      <w:pPr>
        <w:ind w:left="1300" w:right="40" w:hanging="644"/>
        <w:spacing w:after="0" w:line="281" w:lineRule="auto"/>
        <w:tabs>
          <w:tab w:leader="none" w:pos="1300" w:val="left"/>
        </w:tabs>
        <w:numPr>
          <w:ilvl w:val="0"/>
          <w:numId w:val="3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DTC notifies us that it is unwilling or unable to continue acting as the depositary for the global note, or DTC has ceased to be a clearing agency registered under the Exchange Act, and in either case, we fail to appoint a successor depositary; or</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event of default with respect to the notes represented by the global note has occurred and is continuing.</w:t>
      </w:r>
    </w:p>
    <w:p>
      <w:pPr>
        <w:spacing w:after="0" w:line="224"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those circumstances, DTC will determine in whose names any securities issued in exchange for the global note will be registered. Any such notes in certificated form will be issued in minimum denominations of $100,000 and multiples of $1,000 in excess thereof and may be transferred or exchanged only in such minimum denominations.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DTC or its nominee will be considered the sole owner and holder of the global note for all purposes, and as a result:</w:t>
      </w:r>
    </w:p>
    <w:p>
      <w:pPr>
        <w:spacing w:after="0" w:line="225"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cannot get notes registered in your name if they are represented by the global note;</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cannot receive certificated (physical) notes in exchange for your beneficial interest in the global note;</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will not be considered to be the owner or holder of the global note or any note it represents for any purpose; and</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all payments on the global note will be made to DTC or its nominee.</w:t>
      </w:r>
    </w:p>
    <w:p>
      <w:pPr>
        <w:spacing w:after="0" w:line="22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laws of some jurisdictions require that certain kinds of purchasers (for example, certain insurance companies) can only own securities in definitive (certificated) form. These laws may limit your ability to transfer your beneficial interests in the global note to these types of purchasers.</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42" w:name="page43"/>
    <w:bookmarkEnd w:id="42"/>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Only institutions (such as a securities broker or dealer) that have accounts with the DTC or its nominee (called “participants”) and persons that may hold beneficial interests through participants (including through Euroclear Bank SA/NV or Clearstream Banking, société anonyme, as DTC participants) can own a beneficial interest in the global note. The only place where the ownership of beneficial interests in the global note will appear and the only way the transfer of those interests can be made will be on the records kept by DTC (for their participants’ interests) and the records kept by those participants (for interests of persons held by participants on their behalf).</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Secondary trading in bonds and notes of corporate issuers is generally settled in clearing-house (that is, next-day) funds. In contrast, beneficial interests in a global note usually trade in DTC’s same-day funds settlement system, and settle in immediately available funds. We make no representations as to the effect that settlement in immediately available funds will have on trading activity in those beneficial interests.</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Cash payments of interest on and principal of the global note will be made to Cede, the nominee for DTC, as the registered owner of the global note. These payments will be made by wire transfer of immediately available funds on each payment date.</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You may exchange or transfer the notes at the corporate trust office of the trustee for the notes or at any other office or agency maintained by us for those purposes. We will not require payment of a service charge for any transfer or exchange of the notes, but we may require payment of a sum sufficient to cover any applicable tax or other governmental charge.</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have been informed that, with respect to any cash payment of interest on or principal of the global note,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 as is now the case with securities held for the accounts of customers registered in “street name.”</w:t>
      </w:r>
    </w:p>
    <w:p>
      <w:pPr>
        <w:spacing w:after="0" w:line="183"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also understand that neither DTC nor Cede will consent or vote with respect to the notes. We have been advised that under its usual procedures, DTC will mail an “omnibus proxy” to us as soon as possible after the record date. The omnibus proxy assigns Cede’s consenting or voting rights to those participants to whose accounts the notes are credited on the record date identified in a listing attached to the omnibus proxy.</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Because DTC can only act on behalf of participants, who in turn act on behalf of indirect participants, the ability of a person having a beneficial interest in the principal amount represented by the global note to pledge the interest to persons or entities that do not participate in the DTC book-entry system, or otherwise take actions in respect of that interest, may be affected by the lack of a physical certificate evidencing its interest.</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DTC has advised that it will take any action permitted to be taken by a holder of notes (including the presentation of notes for exchange) only at the direction of one or more participants to whose account with DTC interests in the global note are credited and only in respect of such portion of the principal amount of the notes represented by the global note as to which such participant has, or participants have, given such direction.</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DTC has also advised as follows: DTC is a limited purpose trust company organized under the laws of the State of New York, a “banking organization” within the meaning of the New York Banking Law, a member of the Federal Reserve, a “clearing corporation” within the meaning of the Uniform Commercial Code, as amended,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Participants include securities brokers and dealers, banks, trust companies and clearing corporations and may include certain other organizations. Certain of such participants (or their representatives), together with other entities, own DTC. Indirect access to the DTC system is available to other entities such as banks, brokers, dealers and trust companies that clear through or maintain a custodial relationship with a participant, either directly or indirectly. The rules applicable to DTC and its direct and indirect participants are on file with the SEC.</w:t>
      </w:r>
    </w:p>
    <w:p>
      <w:pPr>
        <w:spacing w:after="0" w:line="19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policies and procedures of DTC, which may change periodically, will apply to payments, transfers, exchanges and other matters relating to beneficial interests in the global note. We and the trustee have no responsibility or liability for any aspect of DTC’s or any participants’ records relating to beneficial interests in the global note, including for payments made on the global note, and we and the trustee are not responsible for maintaining, supervising or reviewing any of those records.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Indenture Covenants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indenture contains no covenants or restrictions restricting the incurrence of indebtedness or other obligations by us or by a subsidiary of ours, including the Bank. The indenture contains no financial covenants requiring us to achieve or maintain any minimum financial results relating to our financial position or results of operations or meet or exceed any financial ratios as a general matter or in order to incur additional indebtedness or obligations or to maintain any reserves. Moreover, neither the indenture nor the notes contain any covenants limiting our right to incur additional indebtedness or obligations, grant liens on our assets to secure our indebtedness or other obligations that are senior in right of payment to the notes, repurchase our stock or other securities, including any of the notes, or pay dividends or make other distributions to our shareholders (except, subject to certain limited exceptions, in the case of dividends or other distributions; redemptions, purchases, acquisitions or liquidation payments with respect to our capital stock; and repayments, repurchases or redemptions of any debt securities that rank equal with or junior to the notes, in each case, upon our failure to timely pay the principal of or interest on the notes, when the same becomes due and payable). In addition, neither the indenture nor the notes contain any provision that would provide protection to the holders of the notes against a sudden and dramatic decline in our credit quality resulting from a merger, takeover, recapitalization or similar restructuring or any other event involving us or our subsidiaries that may adversely affect our credit quality.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Right of Acceleration; Failure to Pay Principal or Interest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events of default under the indenture:</w:t>
      </w:r>
    </w:p>
    <w:p>
      <w:pPr>
        <w:spacing w:after="0" w:line="225" w:lineRule="exact"/>
        <w:rPr>
          <w:sz w:val="20"/>
          <w:szCs w:val="20"/>
          <w:color w:val="auto"/>
        </w:rPr>
      </w:pPr>
    </w:p>
    <w:p>
      <w:pPr>
        <w:ind w:left="1300" w:right="60" w:hanging="644"/>
        <w:spacing w:after="0" w:line="255" w:lineRule="auto"/>
        <w:tabs>
          <w:tab w:leader="none" w:pos="1300" w:val="left"/>
        </w:tabs>
        <w:numPr>
          <w:ilvl w:val="0"/>
          <w:numId w:val="3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entry by a court having jurisdiction in the premises of (i) a decree or order for relief in respect of the Company in an involuntary case or proceeding under any applicable federal or state bankruptcy, insolvency, reorganization or other similar law or (ii) a decree or order adjudging the Company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in the case of the immediately preceding clauses (i) and (ii), the continuance of any such decree or order for relief or any such other decree or order unstayed and in effect for a period of sixty (60) consecutive days;</w:t>
      </w:r>
    </w:p>
    <w:p>
      <w:pPr>
        <w:spacing w:after="0" w:line="187" w:lineRule="exact"/>
        <w:rPr>
          <w:rFonts w:ascii="Arial" w:cs="Arial" w:eastAsia="Arial" w:hAnsi="Arial"/>
          <w:sz w:val="18"/>
          <w:szCs w:val="18"/>
          <w:b w:val="1"/>
          <w:bCs w:val="1"/>
          <w:color w:val="auto"/>
        </w:rPr>
      </w:pPr>
    </w:p>
    <w:p>
      <w:pPr>
        <w:ind w:left="1300" w:right="20" w:hanging="644"/>
        <w:spacing w:after="0" w:line="253" w:lineRule="auto"/>
        <w:tabs>
          <w:tab w:leader="none" w:pos="1300" w:val="left"/>
        </w:tabs>
        <w:numPr>
          <w:ilvl w:val="0"/>
          <w:numId w:val="3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taking of corporate action by the Company in furtherance of any such action;</w:t>
      </w:r>
    </w:p>
    <w:p>
      <w:pPr>
        <w:spacing w:after="0" w:line="193" w:lineRule="exact"/>
        <w:rPr>
          <w:rFonts w:ascii="Arial" w:cs="Arial" w:eastAsia="Arial" w:hAnsi="Arial"/>
          <w:sz w:val="18"/>
          <w:szCs w:val="18"/>
          <w:b w:val="1"/>
          <w:bCs w:val="1"/>
          <w:color w:val="auto"/>
        </w:rPr>
      </w:pPr>
    </w:p>
    <w:p>
      <w:pPr>
        <w:ind w:left="1300" w:hanging="644"/>
        <w:spacing w:after="0" w:line="260" w:lineRule="auto"/>
        <w:tabs>
          <w:tab w:leader="none" w:pos="1300" w:val="left"/>
        </w:tabs>
        <w:numPr>
          <w:ilvl w:val="0"/>
          <w:numId w:val="3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 the appointment by a competent government agency having primary regulatory authority over any Major Constituent Bank, as defined in the indenture, under any applicable federal or state banking, insolvency or similar law now or hereafter in effect of a receiver of any such Major Constituent Bank or (ii) the entry of a decree or order in any case or proceeding under any applicable federal or state banking, insolvency or other similar law now or hereafter in effect appointing any receiver of any Major Constituent Bank;</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4" w:name="page45"/>
    <w:bookmarkEnd w:id="44"/>
    <w:p>
      <w:pPr>
        <w:ind w:left="1300" w:right="40" w:hanging="644"/>
        <w:spacing w:after="0" w:line="281" w:lineRule="auto"/>
        <w:tabs>
          <w:tab w:leader="none" w:pos="130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failure of the Company to pay any installment of interest on any of the notes as and when the same will become due and payable, and the continuation of such failure for a period of thirty (30) days;</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failure of the Company to pay all or any part of the principal of any of the notes as and when the same will become due and payable;</w:t>
      </w:r>
    </w:p>
    <w:p>
      <w:pPr>
        <w:spacing w:after="0" w:line="224" w:lineRule="exact"/>
        <w:rPr>
          <w:rFonts w:ascii="Arial" w:cs="Arial" w:eastAsia="Arial" w:hAnsi="Arial"/>
          <w:sz w:val="18"/>
          <w:szCs w:val="18"/>
          <w:b w:val="1"/>
          <w:bCs w:val="1"/>
          <w:color w:val="auto"/>
        </w:rPr>
      </w:pPr>
    </w:p>
    <w:p>
      <w:pPr>
        <w:jc w:val="both"/>
        <w:ind w:left="1300" w:right="440" w:hanging="644"/>
        <w:spacing w:after="0" w:line="311" w:lineRule="auto"/>
        <w:tabs>
          <w:tab w:leader="none" w:pos="1300" w:val="left"/>
        </w:tabs>
        <w:numPr>
          <w:ilvl w:val="0"/>
          <w:numId w:val="37"/>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the failure of the Company to perform any other covenant or agreement on the part of the Company contained in the notes or in the indenture, and the continuation of such failure for a period of sixty (60) days after written notice as provided for in the indenture; or</w:t>
      </w:r>
    </w:p>
    <w:p>
      <w:pPr>
        <w:spacing w:after="0" w:line="140" w:lineRule="exact"/>
        <w:rPr>
          <w:rFonts w:ascii="Arial" w:cs="Arial" w:eastAsia="Arial" w:hAnsi="Arial"/>
          <w:sz w:val="17"/>
          <w:szCs w:val="17"/>
          <w:b w:val="1"/>
          <w:bCs w:val="1"/>
          <w:color w:val="auto"/>
        </w:rPr>
      </w:pPr>
    </w:p>
    <w:p>
      <w:pPr>
        <w:ind w:left="1300" w:right="40" w:hanging="644"/>
        <w:spacing w:after="0" w:line="255" w:lineRule="auto"/>
        <w:tabs>
          <w:tab w:leader="none" w:pos="130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default by the Company under any bond, debenture, note or other evidence of indebtedness for money borrowed by the Company having an aggregate principal amount outstanding of at least $40,000,000, whether such indebtedness now exists or is created or incurred in the future, which default (i) constitutes a failure to pay any portion of the principal of such indebtedness when due and payable after the expiration of any applicable grace period or (ii) results in such indebtedness becoming due or being declared due and payable prior to the date on which it otherwise would have become due and payable without, in the case of clause (i), such indebtedness having been discharged or, in the case of clause (ii), without such indebtedness having been discharged or such acceleration having been rescinded or annulled.</w:t>
      </w:r>
    </w:p>
    <w:p>
      <w:pPr>
        <w:spacing w:after="0" w:line="18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the notes occurs due to a bankruptcy event, the principal of the notes and all accrued and unpaid interest thereon, if any, will be immediately due and payable without any declaration or other act on the part of the trustee or any holder of the notes. If an event of default with respect to the notes occurs due to any reason other than a bankruptcy event, neither the trustee nor any holder may accelerate the stated maturity of the notes.</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indenture provides for the acceleration of the unpaid principal and interest on the notes only in limited circumstances related to our involuntary or voluntary bankruptcy under bankruptcy, insolvency or reorganization laws of the United States or any political subdivision thereof. Accordingly, if an event of default occurs and is continuing related to our bankruptcy, the principal amount of all notes, and accrued and unpaid interest, if any, will be due and payable immediately.</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Under the indenture, if we fail to make any payment of interest on any note when such interest becomes due and payable and such default continues for a period of thirty (30) days, or if we fail to make any payment of the principal of any note when such principal becomes due and payable, the trustee may, subject to certain limitations and conditions, seek to enforce its rights and the rights of the holders of notes to regularly scheduled payments of interest and of principal at the scheduled maturity of the notes. Any such rights to receive payment of such amounts under the notes remain subject to the subordination provisions of the notes as discussed above under the section entitled “— </w:t>
      </w: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beginning on page 36. Neither the trustee nor the holders of the notes will have the right to accelerate the maturity of the notes in the case of our failure to pay the principal of, or interest on, the notes or our non-performance of any other covenant or warranty under the notes or the indenture.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Supplement and Waiver</w:t>
      </w:r>
    </w:p>
    <w:p>
      <w:pPr>
        <w:spacing w:after="0" w:line="229"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Without the consent of any holder of notes, we and the trustee, at any time and from time to time, may enter into one or more indentures supplemental to the indenture for any of the following purposes:</w:t>
      </w:r>
    </w:p>
    <w:p>
      <w:pPr>
        <w:spacing w:after="0" w:line="162" w:lineRule="exact"/>
        <w:rPr>
          <w:sz w:val="20"/>
          <w:szCs w:val="20"/>
          <w:color w:val="auto"/>
        </w:rPr>
      </w:pPr>
    </w:p>
    <w:p>
      <w:pPr>
        <w:ind w:left="1300" w:right="240" w:hanging="644"/>
        <w:spacing w:after="0" w:line="281" w:lineRule="auto"/>
        <w:tabs>
          <w:tab w:leader="none" w:pos="130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evidence a successor to our organization, and the assumption by any such successor of our covenants contained in the indenture and the notes;</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add to our covenants for the benefit of the holders, or to surrender any right or power conferred upon us with respect to the notes;</w:t>
      </w:r>
    </w:p>
    <w:p>
      <w:pPr>
        <w:spacing w:after="0" w:line="224" w:lineRule="exact"/>
        <w:rPr>
          <w:rFonts w:ascii="Arial" w:cs="Arial" w:eastAsia="Arial" w:hAnsi="Arial"/>
          <w:sz w:val="18"/>
          <w:szCs w:val="18"/>
          <w:b w:val="1"/>
          <w:bCs w:val="1"/>
          <w:color w:val="auto"/>
        </w:rPr>
      </w:pPr>
    </w:p>
    <w:p>
      <w:pPr>
        <w:ind w:left="1300" w:right="540" w:hanging="644"/>
        <w:spacing w:after="0" w:line="281" w:lineRule="auto"/>
        <w:tabs>
          <w:tab w:leader="none" w:pos="130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permit or facilitate the issuance of notes in uncertificated or global form, as long as any such action will not adversely affect the interests of the holders;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5" w:name="page46"/>
    <w:bookmarkEnd w:id="45"/>
    <w:p>
      <w:pPr>
        <w:ind w:left="1300" w:right="600" w:hanging="644"/>
        <w:spacing w:after="0" w:line="281" w:lineRule="auto"/>
        <w:tabs>
          <w:tab w:leader="none" w:pos="130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evidence and provide for the acceptance of appointment under the indenture by a successor trustee and to add to or change any provisions of the indenture to provide for or facilitate the administration of the trusts hereunder by more than one trustee;</w:t>
      </w:r>
    </w:p>
    <w:p>
      <w:pPr>
        <w:spacing w:after="0" w:line="162" w:lineRule="exact"/>
        <w:rPr>
          <w:rFonts w:ascii="Arial" w:cs="Arial" w:eastAsia="Arial" w:hAnsi="Arial"/>
          <w:sz w:val="18"/>
          <w:szCs w:val="18"/>
          <w:b w:val="1"/>
          <w:bCs w:val="1"/>
          <w:color w:val="auto"/>
        </w:rPr>
      </w:pPr>
    </w:p>
    <w:p>
      <w:pPr>
        <w:ind w:left="1300" w:right="180" w:hanging="644"/>
        <w:spacing w:after="0" w:line="281" w:lineRule="auto"/>
        <w:tabs>
          <w:tab w:leader="none" w:pos="130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cure any ambiguity or to correct or supplement any provision in the indenture that may be defective or that may be inconsistent with any other provision;</w:t>
      </w:r>
    </w:p>
    <w:p>
      <w:pPr>
        <w:spacing w:after="0" w:line="162" w:lineRule="exact"/>
        <w:rPr>
          <w:rFonts w:ascii="Arial" w:cs="Arial" w:eastAsia="Arial" w:hAnsi="Arial"/>
          <w:sz w:val="18"/>
          <w:szCs w:val="18"/>
          <w:b w:val="1"/>
          <w:bCs w:val="1"/>
          <w:color w:val="auto"/>
        </w:rPr>
      </w:pPr>
    </w:p>
    <w:p>
      <w:pPr>
        <w:ind w:left="1300" w:right="20" w:hanging="644"/>
        <w:spacing w:after="0" w:line="281" w:lineRule="auto"/>
        <w:tabs>
          <w:tab w:leader="none" w:pos="130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make any other provisions with respect to matters or questions arising under the indenture that will not adversely affect the interests of the holders of the notes;</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add any additional events of default (as will be specified in such supplemental indenture);</w:t>
      </w:r>
    </w:p>
    <w:p>
      <w:pPr>
        <w:spacing w:after="0" w:line="224" w:lineRule="exact"/>
        <w:rPr>
          <w:rFonts w:ascii="Arial" w:cs="Arial" w:eastAsia="Arial" w:hAnsi="Arial"/>
          <w:sz w:val="18"/>
          <w:szCs w:val="18"/>
          <w:b w:val="1"/>
          <w:bCs w:val="1"/>
          <w:color w:val="auto"/>
        </w:rPr>
      </w:pPr>
    </w:p>
    <w:p>
      <w:pPr>
        <w:ind w:left="1300" w:right="100" w:hanging="644"/>
        <w:spacing w:after="0" w:line="281" w:lineRule="auto"/>
        <w:tabs>
          <w:tab w:leader="none" w:pos="130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supplement any of the provisions of the indenture as necessary to permit or facilitate legal or covenant defeasance, or satisfaction and discharge of the notes, as long as any such action will not adversely affect the interests of any holder;</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provide for the issuance of the New Notes in connection with this exchange offer;</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conform any provision of the indenture to the requirements of the Trust Indenture Act; or</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make any change that does not adversely affect the legal rights under the indenture of any holder.</w:t>
      </w:r>
    </w:p>
    <w:p>
      <w:pPr>
        <w:spacing w:after="0" w:line="224"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With the consent of the holders of not less than a majority in principal amount of the outstanding notes, we and the trustee may enter into an indenture or indentures supplemental to the indenture for the purpose of adding any provisions to or changing in any manner or eliminating any of the provisions of the indenture or the notes or of modifying in any manner the rights of the holders of the notes under the indenture, except that no such supplemental indenture will, without the consent of the holder of each outstanding note affected thereby:</w:t>
      </w:r>
    </w:p>
    <w:p>
      <w:pPr>
        <w:spacing w:after="0" w:line="180"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reduce the rate of, or change the time for payment of, interest, including default interest, on any note;</w:t>
      </w:r>
    </w:p>
    <w:p>
      <w:pPr>
        <w:spacing w:after="0" w:line="224" w:lineRule="exact"/>
        <w:rPr>
          <w:rFonts w:ascii="Arial" w:cs="Arial" w:eastAsia="Arial" w:hAnsi="Arial"/>
          <w:sz w:val="18"/>
          <w:szCs w:val="18"/>
          <w:b w:val="1"/>
          <w:bCs w:val="1"/>
          <w:color w:val="auto"/>
        </w:rPr>
      </w:pPr>
    </w:p>
    <w:p>
      <w:pPr>
        <w:ind w:left="1300" w:right="300" w:hanging="644"/>
        <w:spacing w:after="0" w:line="281" w:lineRule="auto"/>
        <w:tabs>
          <w:tab w:leader="none" w:pos="1300" w:val="left"/>
        </w:tabs>
        <w:numPr>
          <w:ilvl w:val="0"/>
          <w:numId w:val="4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reduce the principal of or change the stated maturity of any note, change the date on which any note may be subject to redemption, or reduce the price at which any note subject to redemption may be redeemed;</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4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make any note payable in money other than dollars;</w:t>
      </w:r>
    </w:p>
    <w:p>
      <w:pPr>
        <w:spacing w:after="0" w:line="224" w:lineRule="exact"/>
        <w:rPr>
          <w:rFonts w:ascii="Arial" w:cs="Arial" w:eastAsia="Arial" w:hAnsi="Arial"/>
          <w:sz w:val="18"/>
          <w:szCs w:val="18"/>
          <w:b w:val="1"/>
          <w:bCs w:val="1"/>
          <w:color w:val="auto"/>
        </w:rPr>
      </w:pPr>
    </w:p>
    <w:p>
      <w:pPr>
        <w:ind w:left="1300" w:right="180" w:hanging="644"/>
        <w:spacing w:after="0" w:line="281" w:lineRule="auto"/>
        <w:tabs>
          <w:tab w:leader="none" w:pos="1300" w:val="left"/>
        </w:tabs>
        <w:numPr>
          <w:ilvl w:val="0"/>
          <w:numId w:val="4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modify any provision of the indenture protecting the right of a holder to receive payment of principal of and interest on such note on or after the due date thereof or to bring suit to enforce payment;</w:t>
      </w:r>
    </w:p>
    <w:p>
      <w:pPr>
        <w:spacing w:after="0" w:line="162" w:lineRule="exact"/>
        <w:rPr>
          <w:rFonts w:ascii="Arial" w:cs="Arial" w:eastAsia="Arial" w:hAnsi="Arial"/>
          <w:sz w:val="18"/>
          <w:szCs w:val="18"/>
          <w:b w:val="1"/>
          <w:bCs w:val="1"/>
          <w:color w:val="auto"/>
        </w:rPr>
      </w:pPr>
    </w:p>
    <w:p>
      <w:pPr>
        <w:ind w:left="1300" w:hanging="644"/>
        <w:spacing w:after="0" w:line="281" w:lineRule="auto"/>
        <w:tabs>
          <w:tab w:leader="none" w:pos="1300" w:val="left"/>
        </w:tabs>
        <w:numPr>
          <w:ilvl w:val="0"/>
          <w:numId w:val="4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reduce the threshold of holders the consent of whom is required for any such supplemental indenture or required to waive certain defaults and covenants under the indenture; or</w:t>
      </w:r>
    </w:p>
    <w:p>
      <w:pPr>
        <w:spacing w:after="0" w:line="162" w:lineRule="exact"/>
        <w:rPr>
          <w:rFonts w:ascii="Arial" w:cs="Arial" w:eastAsia="Arial" w:hAnsi="Arial"/>
          <w:sz w:val="18"/>
          <w:szCs w:val="18"/>
          <w:b w:val="1"/>
          <w:bCs w:val="1"/>
          <w:color w:val="auto"/>
        </w:rPr>
      </w:pPr>
    </w:p>
    <w:p>
      <w:pPr>
        <w:ind w:left="1300" w:right="40" w:hanging="644"/>
        <w:spacing w:after="0" w:line="260" w:lineRule="auto"/>
        <w:tabs>
          <w:tab w:leader="none" w:pos="1300" w:val="left"/>
        </w:tabs>
        <w:numPr>
          <w:ilvl w:val="0"/>
          <w:numId w:val="4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modify any of the provisions of the section of the indenture governing supplemental indentures with the consent of holders, or those provisions relating to waiver of defaults or certain covenants, except to increase any such percentage required for such actions or to provide that certain other provisions of the indenture cannot be modified or waived without the consent of the holder of each outstanding note.</w:t>
      </w:r>
    </w:p>
    <w:p>
      <w:pPr>
        <w:spacing w:after="0" w:line="18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holders of not less than a majority in aggregate principal amount of the outstanding notes may on behalf of the holders of all notes waive any past default under the indenture and its consequences, except a default in any payment in respect of the principal of or interest on any note, or in respect of a covenant or provision of the indenture under which the indenture cannot be modified or amended without the consent of the holder of each outstanding note.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Satisfaction and Discharge of the Indenture; Defeasance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terminate our obligations under the indenture when:</w:t>
      </w:r>
    </w:p>
    <w:p>
      <w:pPr>
        <w:spacing w:after="0" w:line="225" w:lineRule="exact"/>
        <w:rPr>
          <w:sz w:val="20"/>
          <w:szCs w:val="20"/>
          <w:color w:val="auto"/>
        </w:rPr>
      </w:pPr>
    </w:p>
    <w:p>
      <w:pPr>
        <w:ind w:left="1300" w:right="80" w:hanging="644"/>
        <w:spacing w:after="0" w:line="256" w:lineRule="auto"/>
        <w:tabs>
          <w:tab w:leader="none" w:pos="1300" w:val="left"/>
        </w:tabs>
        <w:numPr>
          <w:ilvl w:val="0"/>
          <w:numId w:val="4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either: (1) all notes that have been authenticated and delivered have been delivered to the trustee for cancellation, or (2) all notes that have not been delivered to the trustee for cancellation (i) have become due and payable, (ii) will become due and payable at their stated maturity within one year or (iii) are to be called for redemption within one year under arrangements satisfactory to the trustee for the giving of notice of redemption by the trustee, and in the case of the foregoing clauses (i), (ii), and (iii) we have deposited or caused to be deposited with the trustee immediately available funds in an amount sufficient to pay and discharge the entire indebtedness on the outstanding notes;</w:t>
      </w:r>
    </w:p>
    <w:p>
      <w:pPr>
        <w:spacing w:after="0" w:line="186" w:lineRule="exact"/>
        <w:rPr>
          <w:rFonts w:ascii="Arial" w:cs="Arial" w:eastAsia="Arial" w:hAnsi="Arial"/>
          <w:sz w:val="18"/>
          <w:szCs w:val="18"/>
          <w:b w:val="1"/>
          <w:bCs w:val="1"/>
          <w:color w:val="auto"/>
        </w:rPr>
      </w:pPr>
    </w:p>
    <w:p>
      <w:pPr>
        <w:ind w:left="1300" w:hanging="644"/>
        <w:spacing w:after="0"/>
        <w:tabs>
          <w:tab w:leader="none" w:pos="1300" w:val="left"/>
        </w:tabs>
        <w:numPr>
          <w:ilvl w:val="0"/>
          <w:numId w:val="4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have paid or caused to be paid all other sums payable by us under the indenture with respect to the notes; and</w:t>
      </w:r>
    </w:p>
    <w:p>
      <w:pPr>
        <w:spacing w:after="0" w:line="224" w:lineRule="exact"/>
        <w:rPr>
          <w:rFonts w:ascii="Arial" w:cs="Arial" w:eastAsia="Arial" w:hAnsi="Arial"/>
          <w:sz w:val="18"/>
          <w:szCs w:val="18"/>
          <w:b w:val="1"/>
          <w:bCs w:val="1"/>
          <w:color w:val="auto"/>
        </w:rPr>
      </w:pPr>
    </w:p>
    <w:p>
      <w:pPr>
        <w:ind w:left="1300" w:right="360" w:hanging="644"/>
        <w:spacing w:after="0" w:line="281" w:lineRule="auto"/>
        <w:tabs>
          <w:tab w:leader="none" w:pos="1300" w:val="left"/>
        </w:tabs>
        <w:numPr>
          <w:ilvl w:val="0"/>
          <w:numId w:val="4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have been satisfied.</w:t>
      </w:r>
    </w:p>
    <w:p>
      <w:pPr>
        <w:spacing w:after="0" w:line="16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may elect, at our option and at any time, to have our obligations discharged with respect to the outstanding notes, which we refer to as legal defeasance. Legal defeasance means that we will be deemed to have paid and discharged the entire indebtedness represented by the outstanding notes, except for:</w:t>
      </w:r>
    </w:p>
    <w:p>
      <w:pPr>
        <w:spacing w:after="0" w:line="176" w:lineRule="exact"/>
        <w:rPr>
          <w:sz w:val="20"/>
          <w:szCs w:val="20"/>
          <w:color w:val="auto"/>
        </w:rPr>
      </w:pPr>
    </w:p>
    <w:p>
      <w:pPr>
        <w:ind w:left="1300" w:right="320" w:hanging="644"/>
        <w:spacing w:after="0" w:line="281" w:lineRule="auto"/>
        <w:tabs>
          <w:tab w:leader="none" w:pos="130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rights of the holders of such notes to receive payments in respect of the principal of and interest on such notes when payments are due;</w:t>
      </w:r>
    </w:p>
    <w:p>
      <w:pPr>
        <w:spacing w:after="0" w:line="162" w:lineRule="exact"/>
        <w:rPr>
          <w:rFonts w:ascii="Arial" w:cs="Arial" w:eastAsia="Arial" w:hAnsi="Arial"/>
          <w:sz w:val="18"/>
          <w:szCs w:val="18"/>
          <w:b w:val="1"/>
          <w:bCs w:val="1"/>
          <w:color w:val="auto"/>
        </w:rPr>
      </w:pPr>
    </w:p>
    <w:p>
      <w:pPr>
        <w:ind w:left="1300" w:right="80" w:hanging="644"/>
        <w:spacing w:after="0" w:line="281" w:lineRule="auto"/>
        <w:tabs>
          <w:tab w:leader="none" w:pos="130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obligations with respect to such notes concerning registration of notes, mutilated, destroyed, lost or stolen notes and the maintenance of an office or agency for payment and money for payments on the notes to be held in trust;</w:t>
      </w:r>
    </w:p>
    <w:p>
      <w:pPr>
        <w:spacing w:after="0" w:line="162" w:lineRule="exact"/>
        <w:rPr>
          <w:rFonts w:ascii="Arial" w:cs="Arial" w:eastAsia="Arial" w:hAnsi="Arial"/>
          <w:sz w:val="18"/>
          <w:szCs w:val="18"/>
          <w:b w:val="1"/>
          <w:bCs w:val="1"/>
          <w:color w:val="auto"/>
        </w:rPr>
      </w:pPr>
    </w:p>
    <w:p>
      <w:pPr>
        <w:ind w:left="1300" w:hanging="644"/>
        <w:spacing w:after="0"/>
        <w:tabs>
          <w:tab w:leader="none" w:pos="130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rights, powers, trusts, duties and immunities of the trustee under the indenture; and</w:t>
      </w:r>
    </w:p>
    <w:p>
      <w:pPr>
        <w:spacing w:after="0" w:line="22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defeasance provisions of the indenture.</w:t>
      </w:r>
    </w:p>
    <w:p>
      <w:pPr>
        <w:spacing w:after="0" w:line="22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elect, at our option, to have our obligations released with respect to certain covenants contained in the indenture, which is also called covenant defeasance. In the event covenant defeasance occurs, certain events (not including non-payment, bankruptcy and insolvency events) will no longer constitute an event of default with respect to the notes.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with respect to outstanding notes:</w:t>
      </w:r>
    </w:p>
    <w:p>
      <w:pPr>
        <w:spacing w:after="0" w:line="225" w:lineRule="exact"/>
        <w:rPr>
          <w:sz w:val="20"/>
          <w:szCs w:val="20"/>
          <w:color w:val="auto"/>
        </w:rPr>
      </w:pPr>
    </w:p>
    <w:p>
      <w:pPr>
        <w:ind w:left="1300" w:hanging="644"/>
        <w:spacing w:after="0" w:line="255" w:lineRule="auto"/>
        <w:tabs>
          <w:tab w:leader="none" w:pos="130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must irrevocably have deposited or caused to be deposited with the trustee as trust funds in trust for the purpose of making the following payments, specifically pledged as security for, and dedicated solely to the benefits of the holders of such notes, (1) an amount in dollars, (2) U.S. government obligations that through the scheduled payment of principal and interest in respect thereof in accordance with their terms will provide, not later than one day before the due date of any payment on the notes, money in an amount, or (3) a combination thereof, in each case sufficient to pay and discharge, and which will be applied by the trustee to pay and discharge, the entire indebtedness in respect of the principal of and interest on the notes on the stated maturity thereof or, with respect to notes called for redemption, on the redemption date thereof;</w:t>
      </w:r>
    </w:p>
    <w:p>
      <w:pPr>
        <w:spacing w:after="0" w:line="187" w:lineRule="exact"/>
        <w:rPr>
          <w:rFonts w:ascii="Arial" w:cs="Arial" w:eastAsia="Arial" w:hAnsi="Arial"/>
          <w:sz w:val="18"/>
          <w:szCs w:val="18"/>
          <w:b w:val="1"/>
          <w:bCs w:val="1"/>
          <w:color w:val="auto"/>
        </w:rPr>
      </w:pPr>
    </w:p>
    <w:p>
      <w:pPr>
        <w:ind w:left="1300" w:right="180" w:hanging="644"/>
        <w:spacing w:after="0" w:line="256" w:lineRule="auto"/>
        <w:tabs>
          <w:tab w:leader="none" w:pos="130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case of legal defeasance, we will have delivered to the trustee an opinion of counsel stating that we have received from, or there has been published by, the Internal Revenue Service a ruling or since the date of the indenture there has been a change in the applicable U.S. federal income tax law, in either case to the effect that, and based thereon such opinion will confirm that, the holders of the notes will not recognize income, gain or loss for U.S. federal income tax purposes as a result of such legal defeasance to be effected with respect to such notes and will be subject to U.S. federal income tax on the same amount, in the same manner and at the same times as would be the case if such legal defeasance had not occurred;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7" w:name="page48"/>
    <w:bookmarkEnd w:id="47"/>
    <w:p>
      <w:pPr>
        <w:ind w:left="1300" w:right="100" w:hanging="644"/>
        <w:spacing w:after="0" w:line="260" w:lineRule="auto"/>
        <w:tabs>
          <w:tab w:leader="none" w:pos="130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case of covenant defeasance, we will have delivered to the trustee an opinion of counsel to the effect that the holders of the outstanding notes will not recognize income, gain or loss for U.S. federal income tax purposes as a result of such covenant defeasance to be effected with respect to the notes and will be subject to U.S. federal income tax on the same amount, in the same manner and at the same times as would be the case if such covenant defeasance had not occurred;</w:t>
      </w:r>
    </w:p>
    <w:p>
      <w:pPr>
        <w:spacing w:after="0" w:line="182" w:lineRule="exact"/>
        <w:rPr>
          <w:rFonts w:ascii="Arial" w:cs="Arial" w:eastAsia="Arial" w:hAnsi="Arial"/>
          <w:sz w:val="18"/>
          <w:szCs w:val="18"/>
          <w:b w:val="1"/>
          <w:bCs w:val="1"/>
          <w:color w:val="auto"/>
        </w:rPr>
      </w:pPr>
    </w:p>
    <w:p>
      <w:pPr>
        <w:ind w:left="1300" w:right="40" w:hanging="644"/>
        <w:spacing w:after="0" w:line="260" w:lineRule="auto"/>
        <w:tabs>
          <w:tab w:leader="none" w:pos="130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event of default, or event which with notice or lapse of time or both would become an event of default with respect to the outstanding notes will have occurred and be continuing at the time of such deposit referred to in the first bullet point above (and in the case of legal defeasance will have occurred and be continuing at any time during the period ending on and including the 91st day after the date of such deposit);</w:t>
      </w:r>
    </w:p>
    <w:p>
      <w:pPr>
        <w:spacing w:after="0" w:line="182" w:lineRule="exact"/>
        <w:rPr>
          <w:rFonts w:ascii="Arial" w:cs="Arial" w:eastAsia="Arial" w:hAnsi="Arial"/>
          <w:sz w:val="18"/>
          <w:szCs w:val="18"/>
          <w:b w:val="1"/>
          <w:bCs w:val="1"/>
          <w:color w:val="auto"/>
        </w:rPr>
      </w:pPr>
    </w:p>
    <w:p>
      <w:pPr>
        <w:jc w:val="both"/>
        <w:ind w:left="1300" w:right="40" w:hanging="644"/>
        <w:spacing w:after="0" w:line="281" w:lineRule="auto"/>
        <w:tabs>
          <w:tab w:leader="none" w:pos="130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the indenture or any other material agreement or material instrument to which we or our subsidiaries are a party or by which we or our subsidiaries are bound;</w:t>
      </w:r>
    </w:p>
    <w:p>
      <w:pPr>
        <w:spacing w:after="0" w:line="162" w:lineRule="exact"/>
        <w:rPr>
          <w:rFonts w:ascii="Arial" w:cs="Arial" w:eastAsia="Arial" w:hAnsi="Arial"/>
          <w:sz w:val="18"/>
          <w:szCs w:val="18"/>
          <w:b w:val="1"/>
          <w:bCs w:val="1"/>
          <w:color w:val="auto"/>
        </w:rPr>
      </w:pPr>
    </w:p>
    <w:p>
      <w:pPr>
        <w:ind w:left="1300" w:right="400" w:hanging="644"/>
        <w:spacing w:after="0" w:line="281" w:lineRule="auto"/>
        <w:tabs>
          <w:tab w:leader="none" w:pos="130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have delivered to the trustee an officer’s certificate and an opinion of counsel, each stating that all conditions precedent with respect to such legal defeasance or covenant defeasance have been satisfied;</w:t>
      </w:r>
    </w:p>
    <w:p>
      <w:pPr>
        <w:spacing w:after="0" w:line="162" w:lineRule="exact"/>
        <w:rPr>
          <w:rFonts w:ascii="Arial" w:cs="Arial" w:eastAsia="Arial" w:hAnsi="Arial"/>
          <w:sz w:val="18"/>
          <w:szCs w:val="18"/>
          <w:b w:val="1"/>
          <w:bCs w:val="1"/>
          <w:color w:val="auto"/>
        </w:rPr>
      </w:pPr>
    </w:p>
    <w:p>
      <w:pPr>
        <w:ind w:left="1300" w:right="100" w:hanging="644"/>
        <w:spacing w:after="0" w:line="265" w:lineRule="auto"/>
        <w:tabs>
          <w:tab w:leader="none" w:pos="130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the moneys or government obligations or combination thereof, as the case may be, are sufficient to pay the principal of, and interest, if any, on, such notes provided such notes are redeemed on a particular redemption date, we will have given the trustee irrevocable instructions to redeem such notes on such date and to provide notice of such redemption to holders; and</w:t>
      </w:r>
    </w:p>
    <w:p>
      <w:pPr>
        <w:spacing w:after="0" w:line="177" w:lineRule="exact"/>
        <w:rPr>
          <w:rFonts w:ascii="Arial" w:cs="Arial" w:eastAsia="Arial" w:hAnsi="Arial"/>
          <w:sz w:val="18"/>
          <w:szCs w:val="18"/>
          <w:b w:val="1"/>
          <w:bCs w:val="1"/>
          <w:color w:val="auto"/>
        </w:rPr>
      </w:pPr>
    </w:p>
    <w:p>
      <w:pPr>
        <w:ind w:left="1300" w:hanging="644"/>
        <w:spacing w:after="0"/>
        <w:tabs>
          <w:tab w:leader="none" w:pos="130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trustee will have received such other documents, assurances and Opinions of Counsel as the trustee will have reasonably required</w:t>
      </w:r>
    </w:p>
    <w:p>
      <w:pPr>
        <w:spacing w:after="0" w:line="22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a discharge or defeasance, in the event the trustee is unable to apply the moneys deposited as contemplated under the satisfaction and discharge provisions of the indenture for any reason, our obligations under the indenture and the notes will be revived as if the deposit had never occurred.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UMB Bank, N.A. is acting as the trustee under the indenture and the initial paying agent and registrar for the notes. From time to time, we and some of our subsidiaries may maintain deposit accounts and conduct other banking transactions, including lending transactions, with the trustee in the ordinary course of business. The trustee is also serving as the exchange agent for the exchange offer.</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Except during the continuance of an event of default under the indenture, the trustee will perform only such duties as are specifically set forth in the indenture. During the continuance of an event of default that has not been cured or waived, the trustee will exercise such of the rights and powers vested in it by the indenture, and use the same degree of care and skill in their exercise, as a prudent person would exercise or use under the circumstances.</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trustee shall not be liable for any action taken or omitted by it in the performance of its duties under this Indenture except for its own gross negligence or willful misconduct.</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indenture and the Trust Indenture Act contain certain limitations on the rights of the trustee, should it become a creditor of our organization, to obtain payment of claims in certain cases or to realize on certain property received in respect of any such claim as security or otherwise. The trustee will be permitted to engage in other transactions; however, if it acquires any “conflicting interest” (as defined in the Trust Indenture Act) it must eliminate such conflict within ninety (90) days, apply to the SEC for permission to continue or resign.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notes will have the right to direct the time, method and place of conducting any proceeding for any remedy available to the trustee, or exercising any trust or power conferred on the trustee, subject to certain exceptions. The indenture provides that in case an event of default has occurred and is continuing, the trustee will exercise such of the rights and powers vested in it by the indenture, and use the same degree of care and skill in their exercise, as a prudent person would exercise or use under the circumstances. Subject to such provisions, the trustee will be under no obligation to exercise any of the rights or powers vested in it by the indenture at the request or direction of any of the holders under the indenture, unless such holders will have provided to the trustee security or indemnity reasonably satisfactory to the trustee against the costs, expenses and liabilities that might be incurred by it in compliance with such request or direction.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Shareholders, Employees, Officers or Directors, or Exchange Agent</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 past, present or future director, officer, employee or shareholder of our company or any of our predecessors or successors, as such or in such capacity, nor the Exchange Agent will have any personal liability for any of our obligations under the notes or the indenture by reason of his, her or its status as such director, officer, employee or shareholder. Each holder of notes by accepting a note waives and releases all such liability. The waiver and release are part of the consideration for the issuance of the notes. Such waiver may not be effective to waive liabilities under the federal securities laws, and it is the view of the SEC that such a waiver is against public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and the indenture will be governed by and construed in accordance with the laws of the State of New York.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CONSIDERATIONS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is a general summary of the material U.S. federal income tax considerations of the exchange of outstanding Old Notes for New Notes in the exchange offer. It is not a complete analysis of all the potential tax considerations relating to the exchange of outstanding Old Notes for New Notes. This discussion is based upon the provisions of the Internal Revenue Code of 1986, as amended (the “Code”), its legislative history, existing and proposed regulations under the Code, and administrative and judicial interpretations, all as currently in effect. These authorities are subject to change, possibly on a retroactive basis. We cannot assure you that the Internal Revenue Service will not challenge one or more of the tax consequences described in this discussion, and we have not obtained, nor do we intend to obtain, a ruling from the Internal Revenue Service or an opinion of counsel with respect to the U.S. federal income tax consequences described herein.</w:t>
      </w:r>
    </w:p>
    <w:p>
      <w:pPr>
        <w:spacing w:after="0" w:line="18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tax treatment of a holder of notes may vary depending on the holder’s particular situation. This discussion is limited to the U.S. federal income tax consequences applicable to holders that purchased their Old Notes from us in the initial offering and at the initial offering price for cash and who held the Old Notes, and will hold the New Notes, as capital assets within the meaning of Section 1221 of the Code for U.S. federal income tax purposes. This discussion does not address all U.S. federal income tax considerations that may be applicable to holders’ particular circumstances or to holders that may be subject to special tax rules under U.S. federal income tax laws including, but not limited to, banks, insurance companies, or other financial institutions, regulated investment companies, real estate investment trusts, tax-exempt organizations, dealers or traders in securities, commodities or currencies, U.S. expatriates, controlled foreign corporations, passive foreign investment companies, holders subject to the alternative minimum tax, traders in securities that elect to use a mark-to-market method of accounting for their securities holdings, United States holders whose functional currency is not the United States dollar, persons that will hold the New Notes as a position in a hedging transaction, straddle, conversion transaction or other integrated transactions or risk reduction transaction, persons deemed to sell the New Notes under the constructive sale provisions of the Code, persons that will hold the New Notes in an individual retirement account, 401(k) plan or similar tax-favored account, or entities or arrangements classified as partnerships for U.S. federal income tax purposes or other pass-through entities, or investors in such entities. This discussion does not address the tax considerations arising under the laws of any foreign, state or local jurisdiction, or any non-income tax consequences of the exchange of Old Notes for New Notes.</w:t>
      </w:r>
    </w:p>
    <w:p>
      <w:pPr>
        <w:spacing w:after="0" w:line="19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exchange of Old Notes for New Notes in the exchange offer should not constitute a taxable exchange for U.S. federal income tax purposes. Consequently, (1) holders of Old Notes should not recognize gain or loss upon the receipt of New Notes in the exchange offer, (2) a holder’s basis in the New Notes received in the exchange offer should be the same as such holder’s basis in the Old Notes surrendered in exchange therefor immediately before the exchange, and (3) a holder’s holding period in the New Notes should include such holder’s holding period in the Old Notes surrendered in exchange therefor.</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discussion of certain United States Federal Income Tax Considerations is for general information only and may not be applicable depending upon a holder’s particular situation. Holders of Old Notes considering the exchange offer are urged to consult their own tax advisors with respect to the tax consequences to them of exchanging Old Notes for New Notes, including the tax consequences under state, local, estate, foreign and other tax laws and the possible effects of changes in United States or other tax laws.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Each broker-dealer that receives New Notes for its own account pursuant to the exchange offer must acknowledge that it may be a statutory underwriter and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provided that such broker-dealer notifies the Company to that effect by so indicating on the letter of transmittal. To the extent that any notifying broker-dealer participates in the exchange offer, we will use our commercially reasonable efforts to maintain the effectiveness of this prospectus.</w:t>
      </w:r>
    </w:p>
    <w:p>
      <w:pPr>
        <w:spacing w:after="0" w:line="18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any sale of New Notes by broker-dealers or any other persons.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any New Notes. Any broker-dealer that receives New Notes in exchange for Old Notes acquired for its own account as a result of market-making activities or other trading activities, and resells such New Notes, and any broker-dealer that participates in a distribution of such New Notes may be deemed to be an “underwriter” within the meaning of the Securities Act and any profit on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9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will promptly send additional copies of this prospectus and any amendment or supplement to this prospectus to any broker-dealer that reasonably requests such documents. We have agreed to pay certain expenses in connection with the exchange offer and will indemnify the holders of the Old Notes (including any broker-dealers) against certain liabilities, including certain liabilities under the Securities Act.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validity of the New Notes will be passed upon for us by Kilpatrick Townsend &amp; Stockton LLP, Washington, D.C.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consolidated financial statements of Hanover Bancorp, Inc. as of December 31, 2025 and 2024 and for each of the two years in the period ended December 31, 2025 have been audited by Crowe LLP, an independent registered public accounting firm, as set forth in its report appearing in the </w:t>
      </w:r>
      <w:hyperlink r:id="rId13">
        <w:r>
          <w:rPr>
            <w:rFonts w:ascii="Times New Roman" w:cs="Times New Roman" w:eastAsia="Times New Roman" w:hAnsi="Times New Roman"/>
            <w:sz w:val="18"/>
            <w:szCs w:val="18"/>
            <w:u w:val="single" w:color="auto"/>
            <w:color w:val="0000EE"/>
          </w:rPr>
          <w:t>Annual Report on Form 10-K for the year ended December 31,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incorporated herein by reference. Such consolidated financial statements have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been so incorporated in reliance on the report of such firm given upon its authority as experts in accounting and auditing.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lowerRoman"/>
      <w:start w:val="1"/>
    </w:lvl>
  </w:abstractNum>
  <w:abstractNum w:abstractNumId="8">
    <w:nsid w:val="189A769B"/>
    <w:multiLevelType w:val="hybridMultilevel"/>
    <w:lvl w:ilvl="0">
      <w:lvlJc w:val="left"/>
      <w:lvlText w:val="(%1)"/>
      <w:numFmt w:val="lowerRoman"/>
      <w:start w:val="4"/>
    </w:lvl>
    <w:lvl w:ilvl="1">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lvl w:ilvl="1">
      <w:lvlJc w:val="left"/>
      <w:lvlText w:val="%2."/>
      <w:numFmt w:val="lowerLetter"/>
      <w:start w:val="1"/>
    </w:lvl>
  </w:abstractNum>
  <w:abstractNum w:abstractNumId="24">
    <w:nsid w:val="419AC241"/>
    <w:multiLevelType w:val="hybridMultilevel"/>
    <w:lvl w:ilvl="0">
      <w:lvlJc w:val="left"/>
      <w:lvlText w:val="·"/>
      <w:numFmt w:val="bullet"/>
      <w:start w:val="1"/>
    </w:lvl>
    <w:lvl w:ilvl="1">
      <w:lvlJc w:val="left"/>
      <w:lvlText w:val="%2."/>
      <w:numFmt w:val="lowerLetter"/>
      <w:start w:val="1"/>
    </w:lvl>
  </w:abstractNum>
  <w:abstractNum w:abstractNumId="25">
    <w:nsid w:val="5577F8E1"/>
    <w:multiLevelType w:val="hybridMultilevel"/>
    <w:lvl w:ilvl="0">
      <w:lvlJc w:val="left"/>
      <w:lvlText w:val="·"/>
      <w:numFmt w:val="bullet"/>
      <w:start w:val="1"/>
    </w:lvl>
    <w:lvl w:ilvl="1">
      <w:lvlJc w:val="left"/>
      <w:lvlText w:val="%2."/>
      <w:numFmt w:val="lowerLetter"/>
      <w:start w:val="1"/>
    </w:lvl>
  </w:abstractNum>
  <w:abstractNum w:abstractNumId="26">
    <w:nsid w:val="440BADFC"/>
    <w:multiLevelType w:val="hybridMultilevel"/>
    <w:lvl w:ilvl="0">
      <w:lvlJc w:val="left"/>
      <w:lvlText w:val="·"/>
      <w:numFmt w:val="bullet"/>
      <w:start w:val="1"/>
    </w:lvl>
    <w:lvl w:ilvl="1">
      <w:lvlJc w:val="left"/>
      <w:lvlText w:val="%2."/>
      <w:numFmt w:val="lowerLetter"/>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13" Type="http://schemas.openxmlformats.org/officeDocument/2006/relationships/hyperlink" Target="https://www.sec.gov/ix?doc=/Archives/edgar/data/1828588/000110465926027651/hnvr-20251231x10k.htm" TargetMode="External"/><Relationship Id="rId18" Type="http://schemas.openxmlformats.org/officeDocument/2006/relationships/hyperlink" Target="https://www.sec.gov/ix?doc=/Archives/edgar/data/1828588/000110465926057877/hnvr-20260331x10q.htm" TargetMode="External"/><Relationship Id="rId19" Type="http://schemas.openxmlformats.org/officeDocument/2006/relationships/hyperlink" Target="https://www.sec.gov/ix?doc=/Archives/edgar/data/1828588/000110465926047669/tm261544d1_def14a.htm" TargetMode="External"/><Relationship Id="rId20" Type="http://schemas.openxmlformats.org/officeDocument/2006/relationships/hyperlink" Target="https://www.sec.gov/ix?doc=/Archives/edgar/data/1828588/000110465926017591/hnvr-20260212x8k.htm" TargetMode="External"/><Relationship Id="rId21" Type="http://schemas.openxmlformats.org/officeDocument/2006/relationships/hyperlink" Target="https://www.sec.gov/ix?doc=/Archives/edgar/data/1828588/000110465926027122/hnvr-20260312x8k.htm" TargetMode="External"/><Relationship Id="rId22" Type="http://schemas.openxmlformats.org/officeDocument/2006/relationships/hyperlink" Target="https://www.sec.gov/ix?doc=/Archives/edgar/data/1828588/000110465926068886/hnvr-20260528x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2026-06-18T15:02:58Z</dcterms:created>
  <dcterms:modified xsi:type="dcterms:W3CDTF">2026-06-18T15:02:58Z</dcterms:modified>
</cp:coreProperties>
</file>