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3"/>
          <w:szCs w:val="13"/>
          <w:b w:val="1"/>
          <w:bCs w:val="1"/>
          <w:color w:val="auto"/>
        </w:rPr>
        <w:t>As filed with the Securities and Exchange Commission on June 4, 2026</w:t>
      </w:r>
    </w:p>
    <w:p>
      <w:pPr>
        <w:spacing w:after="0" w:line="180"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117475</wp:posOffset>
            </wp:positionV>
            <wp:extent cx="7164705" cy="133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4705" cy="1333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144145</wp:posOffset>
            </wp:positionV>
            <wp:extent cx="716470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pacing w:after="0" w:line="3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UNITED STATES</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2690495</wp:posOffset>
            </wp:positionH>
            <wp:positionV relativeFrom="paragraph">
              <wp:posOffset>132715</wp:posOffset>
            </wp:positionV>
            <wp:extent cx="1786255"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6255" cy="6350"/>
                    </a:xfrm>
                    <a:prstGeom prst="rect">
                      <a:avLst/>
                    </a:prstGeom>
                    <a:noFill/>
                  </pic:spPr>
                </pic:pic>
              </a:graphicData>
            </a:graphic>
          </wp:anchor>
        </w:drawing>
      </w:r>
    </w:p>
    <w:p>
      <w:pPr>
        <w:spacing w:after="0" w:line="3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FORM S-4</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REGISTRATION STATEMENT</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UNDER</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2690495</wp:posOffset>
            </wp:positionH>
            <wp:positionV relativeFrom="paragraph">
              <wp:posOffset>132715</wp:posOffset>
            </wp:positionV>
            <wp:extent cx="1786255"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6255" cy="6350"/>
                    </a:xfrm>
                    <a:prstGeom prst="rect">
                      <a:avLst/>
                    </a:prstGeom>
                    <a:noFill/>
                  </pic:spPr>
                </pic:pic>
              </a:graphicData>
            </a:graphic>
          </wp:anchor>
        </w:drawing>
      </w:r>
    </w:p>
    <w:p>
      <w:pPr>
        <w:spacing w:after="0" w:line="200" w:lineRule="exact"/>
        <w:rPr>
          <w:sz w:val="24"/>
          <w:szCs w:val="24"/>
          <w:color w:val="auto"/>
        </w:rPr>
      </w:pPr>
    </w:p>
    <w:p>
      <w:pPr>
        <w:spacing w:after="0" w:line="2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HANOVER BANCORP, INC.</w:t>
      </w:r>
    </w:p>
    <w:p>
      <w:pPr>
        <w:sectPr>
          <w:pgSz w:w="11900" w:h="16838" w:orient="portrait"/>
          <w:cols w:equalWidth="0" w:num="1">
            <w:col w:w="11280"/>
          </w:cols>
          <w:pgMar w:left="300" w:top="391" w:right="319" w:bottom="1440" w:gutter="0" w:footer="0" w:header="0"/>
        </w:sectPr>
      </w:pPr>
    </w:p>
    <w:p>
      <w:pPr>
        <w:spacing w:after="0" w:line="341" w:lineRule="exact"/>
        <w:rPr>
          <w:sz w:val="24"/>
          <w:szCs w:val="24"/>
          <w:color w:val="auto"/>
        </w:rPr>
      </w:pPr>
    </w:p>
    <w:p>
      <w:pPr>
        <w:jc w:val="center"/>
        <w:ind w:left="720"/>
        <w:spacing w:after="0"/>
        <w:rPr>
          <w:sz w:val="20"/>
          <w:szCs w:val="20"/>
          <w:color w:val="auto"/>
        </w:rPr>
      </w:pPr>
      <w:r>
        <w:rPr>
          <w:rFonts w:ascii="Times New Roman" w:cs="Times New Roman" w:eastAsia="Times New Roman" w:hAnsi="Times New Roman"/>
          <w:sz w:val="14"/>
          <w:szCs w:val="14"/>
          <w:b w:val="1"/>
          <w:bCs w:val="1"/>
          <w:color w:val="auto"/>
        </w:rPr>
        <w:t>Maryland</w:t>
      </w:r>
    </w:p>
    <w:p>
      <w:pPr>
        <w:spacing w:after="0" w:line="21" w:lineRule="exact"/>
        <w:rPr>
          <w:sz w:val="24"/>
          <w:szCs w:val="24"/>
          <w:color w:val="auto"/>
        </w:rPr>
      </w:pPr>
    </w:p>
    <w:p>
      <w:pPr>
        <w:ind w:left="1020"/>
        <w:spacing w:after="0"/>
        <w:rPr>
          <w:sz w:val="20"/>
          <w:szCs w:val="20"/>
          <w:color w:val="auto"/>
        </w:rPr>
      </w:pPr>
      <w:r>
        <w:rPr>
          <w:rFonts w:ascii="Times New Roman" w:cs="Times New Roman" w:eastAsia="Times New Roman" w:hAnsi="Times New Roman"/>
          <w:sz w:val="13"/>
          <w:szCs w:val="13"/>
          <w:color w:val="auto"/>
        </w:rPr>
        <w:t>(State or other jurisdiction of</w:t>
      </w:r>
    </w:p>
    <w:p>
      <w:pPr>
        <w:spacing w:after="0" w:line="15"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3"/>
          <w:szCs w:val="13"/>
          <w:color w:val="auto"/>
        </w:rPr>
        <w:t>incorporation or organization)</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8"/>
        </w:trPr>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(Exact name of registrant as specified in its charter)</w:t>
            </w: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2"/>
        </w:trPr>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w w:val="71"/>
              </w:rPr>
              <w:t> </w:t>
            </w:r>
          </w:p>
        </w:tc>
        <w:tc>
          <w:tcPr>
            <w:tcW w:w="300" w:type="dxa"/>
            <w:vAlign w:val="bottom"/>
          </w:tcPr>
          <w:p>
            <w:pPr>
              <w:spacing w:after="0"/>
              <w:rPr>
                <w:sz w:val="24"/>
                <w:szCs w:val="24"/>
                <w:color w:val="auto"/>
              </w:rPr>
            </w:pPr>
          </w:p>
        </w:tc>
        <w:tc>
          <w:tcPr>
            <w:tcW w:w="3280" w:type="dxa"/>
            <w:vAlign w:val="bottom"/>
          </w:tcPr>
          <w:p>
            <w:pPr>
              <w:jc w:val="center"/>
              <w:ind w:left="11"/>
              <w:spacing w:after="0"/>
              <w:rPr>
                <w:sz w:val="20"/>
                <w:szCs w:val="20"/>
                <w:color w:val="auto"/>
              </w:rPr>
            </w:pPr>
            <w:r>
              <w:rPr>
                <w:rFonts w:ascii="Times New Roman" w:cs="Times New Roman" w:eastAsia="Times New Roman" w:hAnsi="Times New Roman"/>
                <w:sz w:val="14"/>
                <w:szCs w:val="14"/>
                <w:b w:val="1"/>
                <w:bCs w:val="1"/>
                <w:color w:val="auto"/>
                <w:w w:val="99"/>
              </w:rPr>
              <w:t>6022</w:t>
            </w:r>
          </w:p>
        </w:tc>
        <w:tc>
          <w:tcPr>
            <w:tcW w:w="260" w:type="dxa"/>
            <w:vAlign w:val="bottom"/>
          </w:tcPr>
          <w:p>
            <w:pPr>
              <w:ind w:left="200"/>
              <w:spacing w:after="0"/>
              <w:rPr>
                <w:sz w:val="20"/>
                <w:szCs w:val="20"/>
                <w:color w:val="auto"/>
              </w:rPr>
            </w:pPr>
            <w:r>
              <w:rPr>
                <w:rFonts w:ascii="Times New Roman" w:cs="Times New Roman" w:eastAsia="Times New Roman" w:hAnsi="Times New Roman"/>
                <w:sz w:val="11"/>
                <w:szCs w:val="11"/>
                <w:color w:val="auto"/>
                <w:w w:val="71"/>
              </w:rPr>
              <w:t> </w:t>
            </w:r>
          </w:p>
        </w:tc>
        <w:tc>
          <w:tcPr>
            <w:tcW w:w="680" w:type="dxa"/>
            <w:vAlign w:val="bottom"/>
          </w:tcPr>
          <w:p>
            <w:pPr>
              <w:spacing w:after="0"/>
              <w:rPr>
                <w:sz w:val="24"/>
                <w:szCs w:val="24"/>
                <w:color w:val="auto"/>
              </w:rPr>
            </w:pPr>
          </w:p>
        </w:tc>
        <w:tc>
          <w:tcPr>
            <w:tcW w:w="1920" w:type="dxa"/>
            <w:vAlign w:val="bottom"/>
          </w:tcPr>
          <w:p>
            <w:pPr>
              <w:jc w:val="center"/>
              <w:ind w:left="591"/>
              <w:spacing w:after="0"/>
              <w:rPr>
                <w:sz w:val="20"/>
                <w:szCs w:val="20"/>
                <w:color w:val="auto"/>
              </w:rPr>
            </w:pPr>
            <w:r>
              <w:rPr>
                <w:rFonts w:ascii="Times New Roman" w:cs="Times New Roman" w:eastAsia="Times New Roman" w:hAnsi="Times New Roman"/>
                <w:sz w:val="14"/>
                <w:szCs w:val="14"/>
                <w:b w:val="1"/>
                <w:bCs w:val="1"/>
                <w:color w:val="auto"/>
                <w:w w:val="97"/>
              </w:rPr>
              <w:t>81-3324480</w:t>
            </w:r>
          </w:p>
        </w:tc>
        <w:tc>
          <w:tcPr>
            <w:tcW w:w="0" w:type="dxa"/>
            <w:vAlign w:val="bottom"/>
          </w:tcPr>
          <w:p>
            <w:pPr>
              <w:spacing w:after="0"/>
              <w:rPr>
                <w:sz w:val="1"/>
                <w:szCs w:val="1"/>
                <w:color w:val="auto"/>
              </w:rPr>
            </w:pPr>
          </w:p>
        </w:tc>
      </w:tr>
      <w:tr>
        <w:trPr>
          <w:trHeight w:val="165"/>
        </w:trPr>
        <w:tc>
          <w:tcPr>
            <w:tcW w:w="60" w:type="dxa"/>
            <w:vAlign w:val="bottom"/>
          </w:tcPr>
          <w:p>
            <w:pPr>
              <w:spacing w:after="0"/>
              <w:rPr>
                <w:sz w:val="14"/>
                <w:szCs w:val="14"/>
                <w:color w:val="auto"/>
              </w:rPr>
            </w:pPr>
          </w:p>
        </w:tc>
        <w:tc>
          <w:tcPr>
            <w:tcW w:w="3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32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(Primary Standard Industrial</w:t>
            </w:r>
          </w:p>
        </w:tc>
        <w:tc>
          <w:tcPr>
            <w:tcW w:w="260" w:type="dxa"/>
            <w:vAlign w:val="bottom"/>
          </w:tcPr>
          <w:p>
            <w:pPr>
              <w:spacing w:after="0"/>
              <w:rPr>
                <w:sz w:val="14"/>
                <w:szCs w:val="14"/>
                <w:color w:val="auto"/>
              </w:rPr>
            </w:pPr>
          </w:p>
        </w:tc>
        <w:tc>
          <w:tcPr>
            <w:tcW w:w="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1920" w:type="dxa"/>
            <w:vAlign w:val="bottom"/>
          </w:tcPr>
          <w:p>
            <w:pPr>
              <w:jc w:val="center"/>
              <w:ind w:left="551"/>
              <w:spacing w:after="0"/>
              <w:rPr>
                <w:sz w:val="20"/>
                <w:szCs w:val="20"/>
                <w:color w:val="auto"/>
              </w:rPr>
            </w:pPr>
            <w:r>
              <w:rPr>
                <w:rFonts w:ascii="Times New Roman" w:cs="Times New Roman" w:eastAsia="Times New Roman" w:hAnsi="Times New Roman"/>
                <w:sz w:val="14"/>
                <w:szCs w:val="14"/>
                <w:color w:val="auto"/>
                <w:w w:val="98"/>
              </w:rPr>
              <w:t>(I.R.S. Employer</w:t>
            </w:r>
          </w:p>
        </w:tc>
        <w:tc>
          <w:tcPr>
            <w:tcW w:w="0" w:type="dxa"/>
            <w:vAlign w:val="bottom"/>
          </w:tcPr>
          <w:p>
            <w:pPr>
              <w:spacing w:after="0"/>
              <w:rPr>
                <w:sz w:val="1"/>
                <w:szCs w:val="1"/>
                <w:color w:val="auto"/>
              </w:rPr>
            </w:pPr>
          </w:p>
        </w:tc>
      </w:tr>
      <w:tr>
        <w:trPr>
          <w:trHeight w:val="96"/>
        </w:trPr>
        <w:tc>
          <w:tcPr>
            <w:tcW w:w="6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3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Classification Code Number)</w:t>
            </w:r>
          </w:p>
        </w:tc>
        <w:tc>
          <w:tcPr>
            <w:tcW w:w="26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920" w:type="dxa"/>
            <w:vAlign w:val="bottom"/>
            <w:vMerge w:val="restart"/>
          </w:tcPr>
          <w:p>
            <w:pPr>
              <w:jc w:val="center"/>
              <w:ind w:left="571"/>
              <w:spacing w:after="0"/>
              <w:rPr>
                <w:sz w:val="20"/>
                <w:szCs w:val="20"/>
                <w:color w:val="auto"/>
              </w:rPr>
            </w:pPr>
            <w:r>
              <w:rPr>
                <w:rFonts w:ascii="Times New Roman" w:cs="Times New Roman" w:eastAsia="Times New Roman" w:hAnsi="Times New Roman"/>
                <w:sz w:val="14"/>
                <w:szCs w:val="14"/>
                <w:color w:val="auto"/>
                <w:w w:val="98"/>
              </w:rPr>
              <w:t>Identification Number)</w:t>
            </w:r>
          </w:p>
        </w:tc>
        <w:tc>
          <w:tcPr>
            <w:tcW w:w="0" w:type="dxa"/>
            <w:vAlign w:val="bottom"/>
          </w:tcPr>
          <w:p>
            <w:pPr>
              <w:spacing w:after="0"/>
              <w:rPr>
                <w:sz w:val="1"/>
                <w:szCs w:val="1"/>
                <w:color w:val="auto"/>
              </w:rPr>
            </w:pPr>
          </w:p>
        </w:tc>
      </w:tr>
      <w:tr>
        <w:trPr>
          <w:trHeight w:val="82"/>
        </w:trPr>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147" w:lineRule="exact"/>
        <w:rPr>
          <w:sz w:val="24"/>
          <w:szCs w:val="24"/>
          <w:color w:val="auto"/>
        </w:rPr>
      </w:pPr>
    </w:p>
    <w:p>
      <w:pPr>
        <w:sectPr>
          <w:pgSz w:w="11900" w:h="16838" w:orient="portrait"/>
          <w:cols w:equalWidth="0" w:num="2">
            <w:col w:w="2900" w:space="720"/>
            <w:col w:w="7660"/>
          </w:cols>
          <w:pgMar w:left="300" w:top="391" w:right="31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4"/>
          <w:szCs w:val="14"/>
          <w:b w:val="1"/>
          <w:bCs w:val="1"/>
          <w:color w:val="auto"/>
        </w:rPr>
        <w:t>80 East Jericho Turnpike</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Mineola, New York 11501</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(516) 548-8500</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2690495</wp:posOffset>
            </wp:positionH>
            <wp:positionV relativeFrom="paragraph">
              <wp:posOffset>132715</wp:posOffset>
            </wp:positionV>
            <wp:extent cx="1786255"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6255" cy="6350"/>
                    </a:xfrm>
                    <a:prstGeom prst="rect">
                      <a:avLst/>
                    </a:prstGeom>
                    <a:noFill/>
                  </pic:spPr>
                </pic:pic>
              </a:graphicData>
            </a:graphic>
          </wp:anchor>
        </w:drawing>
      </w:r>
    </w:p>
    <w:p>
      <w:pPr>
        <w:spacing w:after="0" w:line="3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Michael P. Puorro</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Chairman, President and Chief Executive Officer</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Hanover Bancorp, Inc.</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80 East Jericho Turnpike</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Mineola, New York 11501</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(516) 548-8500</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2690495</wp:posOffset>
            </wp:positionH>
            <wp:positionV relativeFrom="paragraph">
              <wp:posOffset>132715</wp:posOffset>
            </wp:positionV>
            <wp:extent cx="1786255"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6255" cy="6350"/>
                    </a:xfrm>
                    <a:prstGeom prst="rect">
                      <a:avLst/>
                    </a:prstGeom>
                    <a:noFill/>
                  </pic:spPr>
                </pic:pic>
              </a:graphicData>
            </a:graphic>
          </wp:anchor>
        </w:drawing>
      </w:r>
    </w:p>
    <w:p>
      <w:pPr>
        <w:spacing w:after="0" w:line="3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Copies to:</w:t>
      </w:r>
    </w:p>
    <w:p>
      <w:pPr>
        <w:spacing w:after="0" w:line="1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Christina M. Gattuso, Esq.</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Stephen F. Donahoe, Esq.</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Kilpatrick Townsend &amp; Stockton LLP</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701 Pennsylvania Avenue NW, Suite 200</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20004</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(202) 508-5800</w:t>
      </w:r>
    </w:p>
    <w:p>
      <w:pPr>
        <w:spacing w:after="0" w:line="151"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 xml:space="preserve">Approximate date of commencement of proposed sale of the securities to the public: </w:t>
      </w:r>
      <w:r>
        <w:rPr>
          <w:rFonts w:ascii="Times New Roman" w:cs="Times New Roman" w:eastAsia="Times New Roman" w:hAnsi="Times New Roman"/>
          <w:sz w:val="14"/>
          <w:szCs w:val="14"/>
          <w:color w:val="auto"/>
        </w:rPr>
        <w:t>As soon as practicable after this registration statement becomes effective.</w:t>
      </w:r>
    </w:p>
    <w:p>
      <w:pPr>
        <w:spacing w:after="0" w:line="173"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4"/>
          <w:szCs w:val="14"/>
          <w:color w:val="auto"/>
        </w:rPr>
        <w:t>If the securities being registered on this Form are being offered in connection with the formation of a holding company and there is compliance with General Instruction G, check the following</w:t>
      </w:r>
    </w:p>
    <w:p>
      <w:pPr>
        <w:spacing w:after="0" w:line="13"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box: </w:t>
      </w:r>
      <w:r>
        <w:rPr>
          <w:rFonts w:ascii="MS PGothic" w:cs="MS PGothic" w:eastAsia="MS PGothic" w:hAnsi="MS PGothic"/>
          <w:sz w:val="14"/>
          <w:szCs w:val="14"/>
          <w:color w:val="auto"/>
        </w:rPr>
        <w:t>☐</w:t>
      </w:r>
    </w:p>
    <w:p>
      <w:pPr>
        <w:spacing w:after="0" w:line="160" w:lineRule="exact"/>
        <w:rPr>
          <w:sz w:val="24"/>
          <w:szCs w:val="24"/>
          <w:color w:val="auto"/>
        </w:rPr>
      </w:pPr>
    </w:p>
    <w:p>
      <w:pPr>
        <w:jc w:val="both"/>
        <w:ind w:firstLine="495"/>
        <w:spacing w:after="0" w:line="182" w:lineRule="exact"/>
        <w:rPr>
          <w:sz w:val="20"/>
          <w:szCs w:val="20"/>
          <w:color w:val="auto"/>
        </w:rPr>
      </w:pPr>
      <w:r>
        <w:rPr>
          <w:rFonts w:ascii="Times New Roman" w:cs="Times New Roman" w:eastAsia="Times New Roman" w:hAnsi="Times New Roman"/>
          <w:sz w:val="14"/>
          <w:szCs w:val="14"/>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32" w:lineRule="exact"/>
        <w:rPr>
          <w:sz w:val="24"/>
          <w:szCs w:val="24"/>
          <w:color w:val="auto"/>
        </w:rPr>
      </w:pPr>
    </w:p>
    <w:p>
      <w:pPr>
        <w:jc w:val="both"/>
        <w:ind w:firstLine="495"/>
        <w:spacing w:after="0" w:line="182" w:lineRule="exact"/>
        <w:rPr>
          <w:sz w:val="20"/>
          <w:szCs w:val="20"/>
          <w:color w:val="auto"/>
        </w:rPr>
      </w:pPr>
      <w:r>
        <w:rPr>
          <w:rFonts w:ascii="Times New Roman" w:cs="Times New Roman" w:eastAsia="Times New Roman" w:hAnsi="Times New Roman"/>
          <w:sz w:val="14"/>
          <w:szCs w:val="14"/>
          <w:color w:val="auto"/>
        </w:rPr>
        <w:t>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32" w:lineRule="exact"/>
        <w:rPr>
          <w:sz w:val="24"/>
          <w:szCs w:val="24"/>
          <w:color w:val="auto"/>
        </w:rPr>
      </w:pPr>
    </w:p>
    <w:p>
      <w:pPr>
        <w:jc w:val="both"/>
        <w:ind w:firstLine="495"/>
        <w:spacing w:after="0" w:line="27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0" w:lineRule="exact"/>
        <w:rPr>
          <w:sz w:val="24"/>
          <w:szCs w:val="24"/>
          <w:color w:val="auto"/>
        </w:rPr>
      </w:pPr>
    </w:p>
    <w:p>
      <w:pPr>
        <w:ind w:left="680"/>
        <w:spacing w:after="0" w:line="161" w:lineRule="exact"/>
        <w:tabs>
          <w:tab w:leader="none" w:pos="2760" w:val="left"/>
          <w:tab w:leader="none" w:pos="3420" w:val="left"/>
          <w:tab w:leader="none" w:pos="5020" w:val="left"/>
          <w:tab w:leader="none" w:pos="5800" w:val="left"/>
          <w:tab w:leader="none" w:pos="7800" w:val="left"/>
          <w:tab w:leader="none" w:pos="8760" w:val="left"/>
        </w:tabs>
        <w:rPr>
          <w:sz w:val="20"/>
          <w:szCs w:val="20"/>
          <w:color w:val="auto"/>
        </w:rPr>
      </w:pPr>
      <w:r>
        <w:rPr>
          <w:rFonts w:ascii="Times New Roman" w:cs="Times New Roman" w:eastAsia="Times New Roman" w:hAnsi="Times New Roman"/>
          <w:sz w:val="14"/>
          <w:szCs w:val="14"/>
          <w:color w:val="auto"/>
        </w:rPr>
        <w:t>Large accelerated filer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w:t>
      </w:r>
      <w:r>
        <w:rPr>
          <w:sz w:val="20"/>
          <w:szCs w:val="20"/>
          <w:color w:val="auto"/>
        </w:rPr>
        <w:tab/>
      </w:r>
      <w:r>
        <w:rPr>
          <w:rFonts w:ascii="Times New Roman" w:cs="Times New Roman" w:eastAsia="Times New Roman" w:hAnsi="Times New Roman"/>
          <w:sz w:val="14"/>
          <w:szCs w:val="14"/>
          <w:color w:val="auto"/>
        </w:rPr>
        <w:t xml:space="preserve">Accelerated filer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w:t>
      </w:r>
      <w:r>
        <w:rPr>
          <w:sz w:val="20"/>
          <w:szCs w:val="20"/>
          <w:color w:val="auto"/>
        </w:rPr>
        <w:tab/>
      </w:r>
      <w:r>
        <w:rPr>
          <w:rFonts w:ascii="Times New Roman" w:cs="Times New Roman" w:eastAsia="Times New Roman" w:hAnsi="Times New Roman"/>
          <w:sz w:val="14"/>
          <w:szCs w:val="14"/>
          <w:color w:val="auto"/>
        </w:rPr>
        <w:t>Non-accelerated filer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w:t>
      </w:r>
      <w:r>
        <w:rPr>
          <w:sz w:val="20"/>
          <w:szCs w:val="20"/>
          <w:color w:val="auto"/>
        </w:rPr>
        <w:tab/>
      </w:r>
      <w:r>
        <w:rPr>
          <w:rFonts w:ascii="Times New Roman" w:cs="Times New Roman" w:eastAsia="Times New Roman" w:hAnsi="Times New Roman"/>
          <w:sz w:val="13"/>
          <w:szCs w:val="13"/>
          <w:color w:val="auto"/>
        </w:rPr>
        <w:t>Smaller reporting company  </w:t>
      </w:r>
      <w:r>
        <w:rPr>
          <w:rFonts w:ascii="MS PGothic" w:cs="MS PGothic" w:eastAsia="MS PGothic" w:hAnsi="MS PGothic"/>
          <w:sz w:val="13"/>
          <w:szCs w:val="13"/>
          <w:color w:val="auto"/>
        </w:rPr>
        <w:t>☒</w:t>
      </w:r>
    </w:p>
    <w:p>
      <w:pPr>
        <w:spacing w:after="0" w:line="44" w:lineRule="exact"/>
        <w:rPr>
          <w:sz w:val="24"/>
          <w:szCs w:val="24"/>
          <w:color w:val="auto"/>
        </w:rPr>
      </w:pPr>
    </w:p>
    <w:p>
      <w:pPr>
        <w:ind w:left="2780"/>
        <w:spacing w:after="0" w:line="161" w:lineRule="exact"/>
        <w:tabs>
          <w:tab w:leader="none" w:pos="5020" w:val="left"/>
          <w:tab w:leader="none" w:pos="7800" w:val="left"/>
          <w:tab w:leader="none" w:pos="8760" w:val="left"/>
        </w:tabs>
        <w:rPr>
          <w:sz w:val="20"/>
          <w:szCs w:val="20"/>
          <w:color w:val="auto"/>
        </w:rPr>
      </w:pPr>
      <w:r>
        <w:rPr>
          <w:rFonts w:ascii="Times New Roman" w:cs="Times New Roman" w:eastAsia="Times New Roman" w:hAnsi="Times New Roman"/>
          <w:sz w:val="14"/>
          <w:szCs w:val="14"/>
          <w:color w:val="auto"/>
        </w:rPr>
        <w:t> </w:t>
      </w:r>
      <w:r>
        <w:rPr>
          <w:sz w:val="20"/>
          <w:szCs w:val="20"/>
          <w:color w:val="auto"/>
        </w:rPr>
        <w:tab/>
      </w:r>
      <w:r>
        <w:rPr>
          <w:rFonts w:ascii="Times New Roman" w:cs="Times New Roman" w:eastAsia="Times New Roman" w:hAnsi="Times New Roman"/>
          <w:sz w:val="14"/>
          <w:szCs w:val="14"/>
          <w:color w:val="auto"/>
        </w:rPr>
        <w:t> </w:t>
      </w:r>
      <w:r>
        <w:rPr>
          <w:sz w:val="20"/>
          <w:szCs w:val="20"/>
          <w:color w:val="auto"/>
        </w:rPr>
        <w:tab/>
      </w:r>
      <w:r>
        <w:rPr>
          <w:rFonts w:ascii="Times New Roman" w:cs="Times New Roman" w:eastAsia="Times New Roman" w:hAnsi="Times New Roman"/>
          <w:sz w:val="14"/>
          <w:szCs w:val="14"/>
          <w:color w:val="auto"/>
        </w:rPr>
        <w:t> </w:t>
      </w:r>
      <w:r>
        <w:rPr>
          <w:sz w:val="20"/>
          <w:szCs w:val="20"/>
          <w:color w:val="auto"/>
        </w:rPr>
        <w:tab/>
      </w: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3"/>
          <w:szCs w:val="13"/>
          <w:color w:val="auto"/>
        </w:rPr>
        <w:t>☒</w:t>
      </w:r>
    </w:p>
    <w:p>
      <w:pPr>
        <w:spacing w:after="0" w:line="160" w:lineRule="exact"/>
        <w:rPr>
          <w:sz w:val="24"/>
          <w:szCs w:val="24"/>
          <w:color w:val="auto"/>
        </w:rPr>
      </w:pPr>
    </w:p>
    <w:p>
      <w:pPr>
        <w:jc w:val="both"/>
        <w:ind w:firstLine="495"/>
        <w:spacing w:after="0" w:line="182" w:lineRule="exact"/>
        <w:rPr>
          <w:sz w:val="20"/>
          <w:szCs w:val="20"/>
          <w:color w:val="auto"/>
        </w:rPr>
      </w:pPr>
      <w:r>
        <w:rPr>
          <w:rFonts w:ascii="Times New Roman" w:cs="Times New Roman" w:eastAsia="Times New Roman" w:hAnsi="Times New Roman"/>
          <w:sz w:val="14"/>
          <w:szCs w:val="14"/>
          <w:color w:val="auto"/>
        </w:rPr>
        <w:t>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101" w:lineRule="exact"/>
        <w:rPr>
          <w:sz w:val="24"/>
          <w:szCs w:val="24"/>
          <w:color w:val="auto"/>
        </w:rPr>
      </w:pPr>
    </w:p>
    <w:p>
      <w:pPr>
        <w:ind w:left="500"/>
        <w:spacing w:after="0" w:line="161" w:lineRule="exact"/>
        <w:rPr>
          <w:sz w:val="20"/>
          <w:szCs w:val="20"/>
          <w:color w:val="auto"/>
        </w:rPr>
      </w:pPr>
      <w:r>
        <w:rPr>
          <w:rFonts w:ascii="Times New Roman" w:cs="Times New Roman" w:eastAsia="Times New Roman" w:hAnsi="Times New Roman"/>
          <w:sz w:val="14"/>
          <w:szCs w:val="14"/>
          <w:color w:val="auto"/>
        </w:rPr>
        <w:t xml:space="preserve">If applicable, place an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in the box to designate the appropriate rule provision relied upon in conducting this transaction:</w:t>
      </w:r>
    </w:p>
    <w:p>
      <w:pPr>
        <w:spacing w:after="0" w:line="169" w:lineRule="exact"/>
        <w:rPr>
          <w:sz w:val="24"/>
          <w:szCs w:val="24"/>
          <w:color w:val="auto"/>
        </w:rPr>
      </w:pPr>
    </w:p>
    <w:p>
      <w:pPr>
        <w:ind w:left="500"/>
        <w:spacing w:after="0" w:line="161" w:lineRule="exact"/>
        <w:rPr>
          <w:sz w:val="20"/>
          <w:szCs w:val="20"/>
          <w:color w:val="auto"/>
        </w:rPr>
      </w:pPr>
      <w:r>
        <w:rPr>
          <w:rFonts w:ascii="Times New Roman" w:cs="Times New Roman" w:eastAsia="Times New Roman" w:hAnsi="Times New Roman"/>
          <w:sz w:val="14"/>
          <w:szCs w:val="14"/>
          <w:color w:val="auto"/>
        </w:rPr>
        <w:t>Exchange Act Rule 13e-4(i) (Cross-Border Issuer Tender Offer)  </w:t>
      </w:r>
      <w:r>
        <w:rPr>
          <w:rFonts w:ascii="MS PGothic" w:cs="MS PGothic" w:eastAsia="MS PGothic" w:hAnsi="MS PGothic"/>
          <w:sz w:val="14"/>
          <w:szCs w:val="14"/>
          <w:color w:val="auto"/>
        </w:rPr>
        <w:t>☐</w:t>
      </w:r>
    </w:p>
    <w:p>
      <w:pPr>
        <w:spacing w:after="0" w:line="169" w:lineRule="exact"/>
        <w:rPr>
          <w:sz w:val="24"/>
          <w:szCs w:val="24"/>
          <w:color w:val="auto"/>
        </w:rPr>
      </w:pPr>
    </w:p>
    <w:p>
      <w:pPr>
        <w:ind w:left="500"/>
        <w:spacing w:after="0" w:line="161" w:lineRule="exact"/>
        <w:rPr>
          <w:sz w:val="20"/>
          <w:szCs w:val="20"/>
          <w:color w:val="auto"/>
        </w:rPr>
      </w:pPr>
      <w:r>
        <w:rPr>
          <w:rFonts w:ascii="Times New Roman" w:cs="Times New Roman" w:eastAsia="Times New Roman" w:hAnsi="Times New Roman"/>
          <w:sz w:val="14"/>
          <w:szCs w:val="14"/>
          <w:color w:val="auto"/>
        </w:rPr>
        <w:t>Exchange Act Rule 14d-1(d) (Cross-Border Third-Party Tender Offer)  </w:t>
      </w:r>
      <w:r>
        <w:rPr>
          <w:rFonts w:ascii="MS PGothic" w:cs="MS PGothic" w:eastAsia="MS PGothic" w:hAnsi="MS PGothic"/>
          <w:sz w:val="14"/>
          <w:szCs w:val="14"/>
          <w:color w:val="auto"/>
        </w:rPr>
        <w:t>☐</w:t>
      </w:r>
    </w:p>
    <w:p>
      <w:pPr>
        <w:spacing w:after="0" w:line="196" w:lineRule="exact"/>
        <w:rPr>
          <w:sz w:val="24"/>
          <w:szCs w:val="24"/>
          <w:color w:val="auto"/>
        </w:rPr>
      </w:pPr>
    </w:p>
    <w:p>
      <w:pPr>
        <w:jc w:val="both"/>
        <w:ind w:firstLine="495"/>
        <w:spacing w:after="0" w:line="261" w:lineRule="auto"/>
        <w:rPr>
          <w:sz w:val="20"/>
          <w:szCs w:val="20"/>
          <w:color w:val="auto"/>
        </w:rPr>
      </w:pPr>
      <w:r>
        <w:rPr>
          <w:rFonts w:ascii="Times New Roman" w:cs="Times New Roman" w:eastAsia="Times New Roman" w:hAnsi="Times New Roman"/>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95885</wp:posOffset>
            </wp:positionV>
            <wp:extent cx="7164705"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705" cy="635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115570</wp:posOffset>
            </wp:positionV>
            <wp:extent cx="7164705" cy="133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705" cy="1333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462280</wp:posOffset>
            </wp:positionV>
            <wp:extent cx="7164705"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391" w:right="319" w:bottom="1440" w:gutter="0" w:footer="0" w:header="0"/>
          <w:type w:val="continuous"/>
        </w:sectPr>
      </w:pPr>
    </w:p>
    <w:bookmarkStart w:id="1" w:name="page2"/>
    <w:bookmarkEnd w:id="1"/>
    <w:p>
      <w:pPr>
        <w:jc w:val="both"/>
        <w:spacing w:after="0" w:line="253" w:lineRule="auto"/>
        <w:rPr>
          <w:sz w:val="20"/>
          <w:szCs w:val="20"/>
          <w:color w:val="auto"/>
        </w:rPr>
      </w:pPr>
      <w:r>
        <w:rPr>
          <w:rFonts w:ascii="Times New Roman" w:cs="Times New Roman" w:eastAsia="Times New Roman" w:hAnsi="Times New Roman"/>
          <w:sz w:val="14"/>
          <w:szCs w:val="14"/>
          <w:b w:val="1"/>
          <w:bCs w:val="1"/>
          <w:color w:val="FC0014"/>
        </w:rPr>
        <w:t>THE INFORMATION IN THIS PROSPECTUS IS NOT COMPLETE AND MAY BE CHANGED. A REGISTRATION STATEMENT RELATING TO THESE SECURITIES HAS BEEN FILED WITH THE SECURITIES AND EXCHANGE COMMISSION. WE MAY NOT COMPLETE THE EXCHANGE OFFER AND ISSUE THESE SECURITIES UNTIL THE REGISTRATION STATEMENT IS EFFECTIVE. THIS PROSPECTUS IS NOT AN OFFER TO SELL THESE SECURITIES AND IT IS NOT SOLICITING AN OFFER TO BUY THESE SECURITIES, NOR SHALL THERE BE ANY SALE OF THESE SECURITIES IN ANY JURISDICTION IN WHICH SUCH OFFER, SOLICITATION OR SALE IS NOT PERMITTED OR WOULD BE UNLAWFUL PRIOR TO REGISTRATION OR QUALIFICATION UNDER THE SECURITIES LAWS OF ANY SUCH JURISDICTION.</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FC0014"/>
        </w:rPr>
        <w:t>SUBJECT TO COMPLETION, DATED JUNE 4, 2026</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2612390</wp:posOffset>
            </wp:positionH>
            <wp:positionV relativeFrom="paragraph">
              <wp:posOffset>117475</wp:posOffset>
            </wp:positionV>
            <wp:extent cx="1969770" cy="4514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69770" cy="451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OFFER TO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1794510</wp:posOffset>
            </wp:positionH>
            <wp:positionV relativeFrom="paragraph">
              <wp:posOffset>144145</wp:posOffset>
            </wp:positionV>
            <wp:extent cx="3578860"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578860" cy="635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$35,000,000 aggregate principal amount of</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7.25% Fixed-to-Floating Rate Subordinated Notes due 2036</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that have been registered under the Securities Act of 1933</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any and all outstanding unregistered</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7.25% Fixed-to-Floating Rate Subordinated Notes due 2036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1794510</wp:posOffset>
            </wp:positionH>
            <wp:positionV relativeFrom="paragraph">
              <wp:posOffset>132715</wp:posOffset>
            </wp:positionV>
            <wp:extent cx="3578860" cy="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78860" cy="635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The exchange offer will expire at 11:59 p.m., New York City time, on [</w:t>
      </w:r>
      <w:r>
        <w:rPr>
          <w:rFonts w:ascii="Arial" w:cs="Arial" w:eastAsia="Arial" w:hAnsi="Arial"/>
          <w:sz w:val="14"/>
          <w:szCs w:val="14"/>
          <w:b w:val="1"/>
          <w:bCs w:val="1"/>
          <w:color w:val="auto"/>
        </w:rPr>
        <w:t>·</w:t>
      </w:r>
      <w:r>
        <w:rPr>
          <w:rFonts w:ascii="Times New Roman" w:cs="Times New Roman" w:eastAsia="Times New Roman" w:hAnsi="Times New Roman"/>
          <w:sz w:val="14"/>
          <w:szCs w:val="14"/>
          <w:color w:val="auto"/>
        </w:rPr>
        <w:t>], 2026, unless extended.</w:t>
      </w:r>
    </w:p>
    <w:p>
      <w:pPr>
        <w:spacing w:after="0" w:line="170" w:lineRule="exact"/>
        <w:rPr>
          <w:sz w:val="20"/>
          <w:szCs w:val="20"/>
          <w:color w:val="auto"/>
        </w:rPr>
      </w:pPr>
    </w:p>
    <w:p>
      <w:pPr>
        <w:ind w:right="140" w:firstLine="495"/>
        <w:spacing w:after="0" w:line="254" w:lineRule="auto"/>
        <w:rPr>
          <w:sz w:val="20"/>
          <w:szCs w:val="20"/>
          <w:color w:val="auto"/>
        </w:rPr>
      </w:pPr>
      <w:r>
        <w:rPr>
          <w:rFonts w:ascii="Times New Roman" w:cs="Times New Roman" w:eastAsia="Times New Roman" w:hAnsi="Times New Roman"/>
          <w:sz w:val="14"/>
          <w:szCs w:val="14"/>
          <w:color w:val="auto"/>
        </w:rPr>
        <w:t>We are offering to exchange 7.25% Fixed-to-Floating Rate Subordinated Notes due 2036 that have been registered under the Securities Act of 1933, as amended (the “Securities Act”), which we refer to in this prospectus as the “New Notes,” for any and all of our outstanding unregistered 7.25% Fixed-to-Floating Rate Subordinated Notes due 2036 that we issued in a private placement on March 12, 2026, which we refer to in this prospectus as the “Old Notes.” We are making this offer to exchange the Old Notes for the New Notes to satisfy our obligations under the registration rights agreements that we entered into with the purchasers of the Old Notes in connection with our issuance of the Old Notes to those purchasers.</w:t>
      </w:r>
    </w:p>
    <w:p>
      <w:pPr>
        <w:spacing w:after="0" w:line="143" w:lineRule="exact"/>
        <w:rPr>
          <w:sz w:val="20"/>
          <w:szCs w:val="20"/>
          <w:color w:val="auto"/>
        </w:rPr>
      </w:pPr>
    </w:p>
    <w:p>
      <w:pPr>
        <w:ind w:right="120" w:firstLine="495"/>
        <w:spacing w:after="0" w:line="258" w:lineRule="auto"/>
        <w:rPr>
          <w:sz w:val="20"/>
          <w:szCs w:val="20"/>
          <w:color w:val="auto"/>
        </w:rPr>
      </w:pPr>
      <w:r>
        <w:rPr>
          <w:rFonts w:ascii="Times New Roman" w:cs="Times New Roman" w:eastAsia="Times New Roman" w:hAnsi="Times New Roman"/>
          <w:sz w:val="14"/>
          <w:szCs w:val="14"/>
          <w:color w:val="auto"/>
        </w:rPr>
        <w:t>We will not receive any cash proceeds from this exchange offer. The issuance of the New Notes in exchange for the Old Notes will not result in any increase in our outstanding indebtedness. Old Notes that are not exchanged for New Notes in this exchange offer will remain outstanding. The exchange offer is not subject to any minimum tender condition but is subject to certain customary conditions.</w:t>
      </w:r>
    </w:p>
    <w:p>
      <w:pPr>
        <w:spacing w:after="0" w:line="140" w:lineRule="exact"/>
        <w:rPr>
          <w:sz w:val="20"/>
          <w:szCs w:val="20"/>
          <w:color w:val="auto"/>
        </w:rPr>
      </w:pPr>
    </w:p>
    <w:p>
      <w:pPr>
        <w:ind w:right="40" w:firstLine="495"/>
        <w:spacing w:after="0" w:line="252" w:lineRule="auto"/>
        <w:rPr>
          <w:sz w:val="20"/>
          <w:szCs w:val="20"/>
          <w:color w:val="auto"/>
        </w:rPr>
      </w:pPr>
      <w:r>
        <w:rPr>
          <w:rFonts w:ascii="Times New Roman" w:cs="Times New Roman" w:eastAsia="Times New Roman" w:hAnsi="Times New Roman"/>
          <w:sz w:val="14"/>
          <w:szCs w:val="14"/>
          <w:color w:val="auto"/>
        </w:rPr>
        <w:t>Upon expiration of the exchange offer, all Old Notes that have been validly tendered and not withdrawn will be exchanged for an equal principal amount of New Notes. The terms of the New Notes are identical in all material respects to the terms of the Old Notes, except that the New Notes are registered under the Securities Act and are generally not subject to transfer restrictions, are not entitled to registration rights under the registration rights agreements that we entered into with the initial purchasers of the Old Notes and do not have the right to additional interest under the circumstances described in the registration rights agreements relating to our fulfillment of our registration obligations. The New Notes evidence the same debt as the Old Notes and are governed by the same indenture under which the Old Notes were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321945</wp:posOffset>
            </wp:positionV>
            <wp:extent cx="7164705" cy="6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720" w:right="319" w:bottom="1440" w:gutter="0" w:footer="0" w:header="0"/>
        </w:sectPr>
      </w:pPr>
    </w:p>
    <w:bookmarkStart w:id="2" w:name="page3"/>
    <w:bookmarkEnd w:id="2"/>
    <w:p>
      <w:pPr>
        <w:ind w:right="140" w:firstLine="495"/>
        <w:spacing w:after="0" w:line="271" w:lineRule="auto"/>
        <w:rPr>
          <w:sz w:val="20"/>
          <w:szCs w:val="20"/>
          <w:color w:val="auto"/>
        </w:rPr>
      </w:pPr>
      <w:r>
        <w:rPr>
          <w:rFonts w:ascii="Times New Roman" w:cs="Times New Roman" w:eastAsia="Times New Roman" w:hAnsi="Times New Roman"/>
          <w:sz w:val="14"/>
          <w:szCs w:val="14"/>
          <w:color w:val="auto"/>
        </w:rPr>
        <w:t>There is no existing public market for the Old Notes or the New Notes and we do not expect any public market to develop in the future for either the Old Notes or the New Notes. The Old Notes are not listed on any national securities exchange or quotation system and we do not intend to list the New Notes on any national securities exchange or quotation system.</w:t>
      </w:r>
    </w:p>
    <w:p>
      <w:pPr>
        <w:spacing w:after="0" w:line="131" w:lineRule="exact"/>
        <w:rPr>
          <w:sz w:val="20"/>
          <w:szCs w:val="20"/>
          <w:color w:val="auto"/>
        </w:rPr>
      </w:pPr>
    </w:p>
    <w:p>
      <w:pPr>
        <w:ind w:firstLine="495"/>
        <w:spacing w:after="0" w:line="271" w:lineRule="auto"/>
        <w:rPr>
          <w:sz w:val="20"/>
          <w:szCs w:val="20"/>
          <w:color w:val="auto"/>
        </w:rPr>
      </w:pPr>
      <w:r>
        <w:rPr>
          <w:rFonts w:ascii="Times New Roman" w:cs="Times New Roman" w:eastAsia="Times New Roman" w:hAnsi="Times New Roman"/>
          <w:sz w:val="14"/>
          <w:szCs w:val="14"/>
          <w:color w:val="auto"/>
        </w:rPr>
        <w:t>You may withdraw your tender of Old Notes at any time prior to 5:00 p.m., New York City time, on the expiration of the exchange offer. We will exchange all of the outstanding Old Notes that are validly tendered and not validly withdrawn prior to the expiration of the exchange offer for an equal principal amount of New Notes.</w:t>
      </w:r>
    </w:p>
    <w:p>
      <w:pPr>
        <w:spacing w:after="0" w:line="131" w:lineRule="exact"/>
        <w:rPr>
          <w:sz w:val="20"/>
          <w:szCs w:val="20"/>
          <w:color w:val="auto"/>
        </w:rPr>
      </w:pPr>
    </w:p>
    <w:p>
      <w:pPr>
        <w:ind w:right="40" w:firstLine="495"/>
        <w:spacing w:after="0" w:line="287" w:lineRule="auto"/>
        <w:rPr>
          <w:sz w:val="20"/>
          <w:szCs w:val="20"/>
          <w:color w:val="auto"/>
        </w:rPr>
      </w:pPr>
      <w:r>
        <w:rPr>
          <w:rFonts w:ascii="Times New Roman" w:cs="Times New Roman" w:eastAsia="Times New Roman" w:hAnsi="Times New Roman"/>
          <w:sz w:val="13"/>
          <w:szCs w:val="13"/>
          <w:color w:val="auto"/>
        </w:rPr>
        <w:t>Each broker-dealer that receives New Notes for its own account pursuant to the exchange offer must acknowledge that it will deliver a prospectus meeting the requirements of the Securities Act in connection with any resale of such New Notes. A broker-dealer that acquired Old Notes because of market-making or other trading activities may use this prospectus, as supplemented or amended from time to time, in connection with resales of the New Notes for a period of 180 days after the completion of the exchange offer. See the section entitled “</w:t>
      </w:r>
      <w:r>
        <w:rPr>
          <w:rFonts w:ascii="Times New Roman" w:cs="Times New Roman" w:eastAsia="Times New Roman" w:hAnsi="Times New Roman"/>
          <w:sz w:val="13"/>
          <w:szCs w:val="13"/>
          <w:i w:val="1"/>
          <w:iCs w:val="1"/>
          <w:color w:val="auto"/>
        </w:rPr>
        <w:t>Plan of Distribution</w:t>
      </w:r>
      <w:r>
        <w:rPr>
          <w:rFonts w:ascii="Times New Roman" w:cs="Times New Roman" w:eastAsia="Times New Roman" w:hAnsi="Times New Roman"/>
          <w:sz w:val="13"/>
          <w:szCs w:val="13"/>
          <w:color w:val="auto"/>
        </w:rPr>
        <w:t>” beginning on page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2867660</wp:posOffset>
            </wp:positionH>
            <wp:positionV relativeFrom="paragraph">
              <wp:posOffset>112395</wp:posOffset>
            </wp:positionV>
            <wp:extent cx="1433195" cy="6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33195" cy="6350"/>
                    </a:xfrm>
                    <a:prstGeom prst="rect">
                      <a:avLst/>
                    </a:prstGeom>
                    <a:noFill/>
                  </pic:spPr>
                </pic:pic>
              </a:graphicData>
            </a:graphic>
          </wp:anchor>
        </w:drawing>
      </w:r>
    </w:p>
    <w:p>
      <w:pPr>
        <w:spacing w:after="0" w:line="367" w:lineRule="exact"/>
        <w:rPr>
          <w:sz w:val="20"/>
          <w:szCs w:val="20"/>
          <w:color w:val="auto"/>
        </w:rPr>
      </w:pPr>
    </w:p>
    <w:p>
      <w:pPr>
        <w:ind w:right="80" w:firstLine="495"/>
        <w:spacing w:after="0" w:line="277" w:lineRule="auto"/>
        <w:rPr>
          <w:rFonts w:ascii="Times New Roman" w:cs="Times New Roman" w:eastAsia="Times New Roman" w:hAnsi="Times New Roman"/>
          <w:sz w:val="14"/>
          <w:szCs w:val="14"/>
          <w:b w:val="1"/>
          <w:bCs w:val="1"/>
          <w:color w:val="0000EE"/>
        </w:rPr>
      </w:pPr>
      <w:hyperlink r:id="rId22">
        <w:r>
          <w:rPr>
            <w:rFonts w:ascii="Times New Roman" w:cs="Times New Roman" w:eastAsia="Times New Roman" w:hAnsi="Times New Roman"/>
            <w:sz w:val="14"/>
            <w:szCs w:val="14"/>
            <w:b w:val="1"/>
            <w:bCs w:val="1"/>
            <w:color w:val="auto"/>
          </w:rPr>
          <w:t xml:space="preserve">Investing in our securities involves certain risks. See the section entitled “Risk Factors” beginning on page 13, as well as the risk factors contained in our </w:t>
        </w:r>
        <w:r>
          <w:rPr>
            <w:rFonts w:ascii="Times New Roman" w:cs="Times New Roman" w:eastAsia="Times New Roman" w:hAnsi="Times New Roman"/>
            <w:sz w:val="14"/>
            <w:szCs w:val="14"/>
            <w:b w:val="1"/>
            <w:bCs w:val="1"/>
            <w:u w:val="single" w:color="auto"/>
            <w:color w:val="0000EE"/>
          </w:rPr>
          <w:t>Annual Report on Form 10-K</w:t>
        </w:r>
      </w:hyperlink>
      <w:r>
        <w:rPr>
          <w:rFonts w:ascii="Times New Roman" w:cs="Times New Roman" w:eastAsia="Times New Roman" w:hAnsi="Times New Roman"/>
          <w:sz w:val="14"/>
          <w:szCs w:val="14"/>
          <w:b w:val="1"/>
          <w:bCs w:val="1"/>
          <w:color w:val="auto"/>
        </w:rPr>
        <w:t xml:space="preserve"> </w:t>
      </w:r>
      <w:hyperlink r:id="rId22">
        <w:r>
          <w:rPr>
            <w:rFonts w:ascii="Times New Roman" w:cs="Times New Roman" w:eastAsia="Times New Roman" w:hAnsi="Times New Roman"/>
            <w:sz w:val="14"/>
            <w:szCs w:val="14"/>
            <w:b w:val="1"/>
            <w:bCs w:val="1"/>
            <w:u w:val="single" w:color="auto"/>
            <w:color w:val="0000EE"/>
          </w:rPr>
          <w:t>for the year ended December 31, 2025</w:t>
        </w:r>
        <w:r>
          <w:rPr>
            <w:rFonts w:ascii="Times New Roman" w:cs="Times New Roman" w:eastAsia="Times New Roman" w:hAnsi="Times New Roman"/>
            <w:sz w:val="14"/>
            <w:szCs w:val="14"/>
            <w:b w:val="1"/>
            <w:bCs w:val="1"/>
            <w:color w:val="000000"/>
          </w:rPr>
          <w:t>, and in the other reports filed by us with the Securities and Exchange Commission and incorporated by reference into this prospectus.</w:t>
        </w:r>
      </w:hyperlink>
    </w:p>
    <w:p>
      <w:pPr>
        <w:spacing w:after="0" w:line="123" w:lineRule="exact"/>
        <w:rPr>
          <w:sz w:val="20"/>
          <w:szCs w:val="20"/>
          <w:color w:val="auto"/>
        </w:rPr>
      </w:pPr>
    </w:p>
    <w:p>
      <w:pPr>
        <w:ind w:right="100" w:firstLine="495"/>
        <w:spacing w:after="0" w:line="277"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nor any state securities commission or regulatory body has approved or disapproved of these securities or passed upon the adequacy or accuracy of the disclosure in this prospectus. Any representation to the contrary is a criminal offense.</w:t>
      </w:r>
    </w:p>
    <w:p>
      <w:pPr>
        <w:spacing w:after="0" w:line="123" w:lineRule="exact"/>
        <w:rPr>
          <w:sz w:val="20"/>
          <w:szCs w:val="20"/>
          <w:color w:val="auto"/>
        </w:rPr>
      </w:pPr>
    </w:p>
    <w:p>
      <w:pPr>
        <w:ind w:right="720" w:firstLine="495"/>
        <w:spacing w:after="0" w:line="277" w:lineRule="auto"/>
        <w:rPr>
          <w:sz w:val="20"/>
          <w:szCs w:val="20"/>
          <w:color w:val="auto"/>
        </w:rPr>
      </w:pPr>
      <w:r>
        <w:rPr>
          <w:rFonts w:ascii="Times New Roman" w:cs="Times New Roman" w:eastAsia="Times New Roman" w:hAnsi="Times New Roman"/>
          <w:sz w:val="14"/>
          <w:szCs w:val="14"/>
          <w:b w:val="1"/>
          <w:bCs w:val="1"/>
          <w:color w:val="auto"/>
        </w:rPr>
        <w:t>The securities to be exchanged are not savings accounts, deposits or obligations of any bank and are not insured by the Federal Deposit Insurance Corporation or any other governmental agency.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2867660</wp:posOffset>
            </wp:positionH>
            <wp:positionV relativeFrom="paragraph">
              <wp:posOffset>114935</wp:posOffset>
            </wp:positionV>
            <wp:extent cx="1433195" cy="6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1433195" cy="6350"/>
                    </a:xfrm>
                    <a:prstGeom prst="rect">
                      <a:avLst/>
                    </a:prstGeom>
                    <a:noFill/>
                  </pic:spPr>
                </pic:pic>
              </a:graphicData>
            </a:graphic>
          </wp:anchor>
        </w:drawing>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The date of this prospectus is [</w:t>
      </w:r>
      <w:r>
        <w:rPr>
          <w:rFonts w:ascii="Arial" w:cs="Arial" w:eastAsia="Arial" w:hAnsi="Arial"/>
          <w:sz w:val="14"/>
          <w:szCs w:val="14"/>
          <w:b w:val="1"/>
          <w:bCs w:val="1"/>
          <w:color w:val="auto"/>
        </w:rPr>
        <w:t>·</w:t>
      </w:r>
      <w:r>
        <w:rPr>
          <w:rFonts w:ascii="Times New Roman" w:cs="Times New Roman" w:eastAsia="Times New Roman" w:hAnsi="Times New Roman"/>
          <w:sz w:val="14"/>
          <w:szCs w:val="14"/>
          <w:b w:val="1"/>
          <w:bCs w:val="1"/>
          <w:color w:val="auto"/>
        </w:rPr>
        <w:t>],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339725</wp:posOffset>
            </wp:positionV>
            <wp:extent cx="7164705" cy="6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64705" cy="6350"/>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-69215</wp:posOffset>
            </wp:positionV>
            <wp:extent cx="60325" cy="603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60325" cy="60325"/>
                    </a:xfrm>
                    <a:prstGeom prst="rect">
                      <a:avLst/>
                    </a:prstGeom>
                    <a:noFill/>
                  </pic:spPr>
                </pic:pic>
              </a:graphicData>
            </a:graphic>
          </wp:anchor>
        </w:drawing>
      </w:r>
    </w:p>
    <w:p>
      <w:pPr>
        <w:sectPr>
          <w:pgSz w:w="11900" w:h="16838" w:orient="portrait"/>
          <w:cols w:equalWidth="0" w:num="1">
            <w:col w:w="11260"/>
          </w:cols>
          <w:pgMar w:left="300" w:top="724"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2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040" w:type="dxa"/>
            <w:vAlign w:val="bottom"/>
            <w:tcBorders>
              <w:bottom w:val="single" w:sz="8" w:color="CCEEFF"/>
            </w:tcBorders>
          </w:tcPr>
          <w:p>
            <w:pPr>
              <w:spacing w:after="0"/>
              <w:rPr>
                <w:sz w:val="24"/>
                <w:szCs w:val="24"/>
                <w:color w:val="auto"/>
              </w:rPr>
            </w:pPr>
          </w:p>
        </w:tc>
        <w:tc>
          <w:tcPr>
            <w:tcW w:w="94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550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640" w:type="dxa"/>
            <w:vAlign w:val="bottom"/>
            <w:gridSpan w:val="13"/>
            <w:shd w:val="clear" w:color="auto" w:fill="CCEEFF"/>
          </w:tcPr>
          <w:p>
            <w:pPr>
              <w:spacing w:after="0" w:line="94" w:lineRule="exact"/>
              <w:rPr>
                <w:sz w:val="20"/>
                <w:szCs w:val="20"/>
                <w:color w:val="auto"/>
              </w:rPr>
            </w:pPr>
            <w:r>
              <w:rPr>
                <w:rFonts w:ascii="Times New Roman" w:cs="Times New Roman" w:eastAsia="Times New Roman" w:hAnsi="Times New Roman"/>
                <w:sz w:val="10"/>
                <w:szCs w:val="10"/>
                <w:color w:val="0000EE"/>
              </w:rPr>
              <w:t>ABOUT THIS PROSPECTUS</w:t>
            </w:r>
          </w:p>
        </w:tc>
        <w:tc>
          <w:tcPr>
            <w:tcW w:w="5500" w:type="dxa"/>
            <w:vAlign w:val="bottom"/>
            <w:shd w:val="clear" w:color="auto" w:fill="CCEEFF"/>
          </w:tcPr>
          <w:p>
            <w:pPr>
              <w:spacing w:after="0"/>
              <w:rPr>
                <w:sz w:val="11"/>
                <w:szCs w:val="11"/>
                <w:color w:val="auto"/>
              </w:rPr>
            </w:pPr>
          </w:p>
        </w:tc>
        <w:tc>
          <w:tcPr>
            <w:tcW w:w="640" w:type="dxa"/>
            <w:vAlign w:val="bottom"/>
            <w:tcBorders>
              <w:right w:val="single" w:sz="8" w:color="CCEEFF"/>
            </w:tcBorders>
            <w:gridSpan w:val="2"/>
            <w:shd w:val="clear" w:color="auto" w:fill="CCEEFF"/>
          </w:tcPr>
          <w:p>
            <w:pPr>
              <w:jc w:val="center"/>
              <w:ind w:left="417"/>
              <w:spacing w:after="0" w:line="104" w:lineRule="exact"/>
              <w:rPr>
                <w:sz w:val="20"/>
                <w:szCs w:val="20"/>
                <w:color w:val="auto"/>
              </w:rPr>
            </w:pPr>
            <w:r>
              <w:rPr>
                <w:rFonts w:ascii="Times New Roman" w:cs="Times New Roman" w:eastAsia="Times New Roman" w:hAnsi="Times New Roman"/>
                <w:sz w:val="11"/>
                <w:szCs w:val="11"/>
                <w:color w:val="0000EE"/>
              </w:rPr>
              <w:t>1</w:t>
            </w:r>
          </w:p>
        </w:tc>
        <w:tc>
          <w:tcPr>
            <w:tcW w:w="4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lef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5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vMerge w:val="continue"/>
          </w:tcPr>
          <w:p>
            <w:pPr>
              <w:spacing w:after="0"/>
              <w:rPr>
                <w:sz w:val="10"/>
                <w:szCs w:val="10"/>
                <w:color w:val="auto"/>
              </w:rPr>
            </w:pPr>
          </w:p>
        </w:tc>
        <w:tc>
          <w:tcPr>
            <w:tcW w:w="2900" w:type="dxa"/>
            <w:vAlign w:val="bottom"/>
            <w:tcBorders>
              <w:bottom w:val="single" w:sz="8" w:color="0000EE"/>
            </w:tcBorders>
            <w:gridSpan w:val="9"/>
          </w:tcPr>
          <w:p>
            <w:pPr>
              <w:spacing w:after="0" w:line="115" w:lineRule="exact"/>
              <w:rPr>
                <w:sz w:val="20"/>
                <w:szCs w:val="20"/>
                <w:color w:val="auto"/>
              </w:rPr>
            </w:pPr>
            <w:r>
              <w:rPr>
                <w:rFonts w:ascii="Times New Roman" w:cs="Times New Roman" w:eastAsia="Times New Roman" w:hAnsi="Times New Roman"/>
                <w:sz w:val="13"/>
                <w:szCs w:val="13"/>
                <w:color w:val="0000EE"/>
              </w:rPr>
              <w:t>WHERE YOU CAN FIND MORE INFORMATION</w:t>
            </w:r>
          </w:p>
        </w:tc>
        <w:tc>
          <w:tcPr>
            <w:tcW w:w="1740" w:type="dxa"/>
            <w:vAlign w:val="bottom"/>
            <w:gridSpan w:val="4"/>
          </w:tcPr>
          <w:p>
            <w:pPr>
              <w:spacing w:after="0"/>
              <w:rPr>
                <w:sz w:val="10"/>
                <w:szCs w:val="10"/>
                <w:color w:val="auto"/>
              </w:rPr>
            </w:pPr>
          </w:p>
        </w:tc>
        <w:tc>
          <w:tcPr>
            <w:tcW w:w="6020" w:type="dxa"/>
            <w:vAlign w:val="bottom"/>
            <w:gridSpan w:val="2"/>
          </w:tcPr>
          <w:p>
            <w:pPr>
              <w:spacing w:after="0"/>
              <w:rPr>
                <w:sz w:val="10"/>
                <w:szCs w:val="10"/>
                <w:color w:val="auto"/>
              </w:rPr>
            </w:pPr>
          </w:p>
        </w:tc>
        <w:tc>
          <w:tcPr>
            <w:tcW w:w="120" w:type="dxa"/>
            <w:vAlign w:val="bottom"/>
            <w:tcBorders>
              <w:bottom w:val="single" w:sz="8" w:color="0000EE"/>
            </w:tcBorders>
          </w:tcPr>
          <w:p>
            <w:pPr>
              <w:jc w:val="center"/>
              <w:spacing w:after="0" w:line="115" w:lineRule="exact"/>
              <w:rPr>
                <w:sz w:val="20"/>
                <w:szCs w:val="20"/>
                <w:color w:val="auto"/>
              </w:rPr>
            </w:pPr>
            <w:r>
              <w:rPr>
                <w:rFonts w:ascii="Times New Roman" w:cs="Times New Roman" w:eastAsia="Times New Roman" w:hAnsi="Times New Roman"/>
                <w:sz w:val="13"/>
                <w:szCs w:val="13"/>
                <w:color w:val="0000EE"/>
              </w:rPr>
              <w:t>2</w:t>
            </w: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640" w:type="dxa"/>
            <w:vAlign w:val="bottom"/>
            <w:gridSpan w:val="13"/>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0000EE"/>
              </w:rPr>
              <w:t>INCORPORATION OF CERTAIN DOCUMENTS BY REFERENCE</w:t>
            </w:r>
          </w:p>
        </w:tc>
        <w:tc>
          <w:tcPr>
            <w:tcW w:w="6140" w:type="dxa"/>
            <w:vAlign w:val="bottom"/>
            <w:tcBorders>
              <w:right w:val="single" w:sz="8" w:color="CCEEFF"/>
            </w:tcBorders>
            <w:gridSpan w:val="3"/>
            <w:shd w:val="clear" w:color="auto" w:fill="CCEEFF"/>
          </w:tcPr>
          <w:p>
            <w:pPr>
              <w:jc w:val="center"/>
              <w:ind w:left="5911"/>
              <w:spacing w:after="0" w:line="145" w:lineRule="exact"/>
              <w:rPr>
                <w:sz w:val="20"/>
                <w:szCs w:val="20"/>
                <w:color w:val="auto"/>
              </w:rPr>
            </w:pPr>
            <w:r>
              <w:rPr>
                <w:rFonts w:ascii="Times New Roman" w:cs="Times New Roman" w:eastAsia="Times New Roman" w:hAnsi="Times New Roman"/>
                <w:sz w:val="14"/>
                <w:szCs w:val="14"/>
                <w:color w:val="0000EE"/>
              </w:rPr>
              <w:t>3</w:t>
            </w:r>
          </w:p>
        </w:tc>
        <w:tc>
          <w:tcPr>
            <w:tcW w:w="4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56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040" w:type="dxa"/>
            <w:vAlign w:val="bottom"/>
            <w:shd w:val="clear" w:color="auto" w:fill="0000EE"/>
          </w:tcPr>
          <w:p>
            <w:pPr>
              <w:spacing w:after="0"/>
              <w:rPr>
                <w:sz w:val="2"/>
                <w:szCs w:val="2"/>
                <w:color w:val="auto"/>
              </w:rPr>
            </w:pPr>
          </w:p>
        </w:tc>
        <w:tc>
          <w:tcPr>
            <w:tcW w:w="940" w:type="dxa"/>
            <w:vAlign w:val="bottom"/>
            <w:shd w:val="clear" w:color="auto" w:fill="0000EE"/>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5500" w:type="dxa"/>
            <w:vAlign w:val="bottom"/>
            <w:shd w:val="clear" w:color="auto" w:fill="CCEEFF"/>
          </w:tcPr>
          <w:p>
            <w:pPr>
              <w:spacing w:after="0"/>
              <w:rPr>
                <w:sz w:val="2"/>
                <w:szCs w:val="2"/>
                <w:color w:val="auto"/>
              </w:rPr>
            </w:pPr>
          </w:p>
        </w:tc>
        <w:tc>
          <w:tcPr>
            <w:tcW w:w="520" w:type="dxa"/>
            <w:vAlign w:val="bottom"/>
            <w:tcBorders>
              <w:right w:val="single" w:sz="8" w:color="CCEEFF"/>
            </w:tcBorders>
            <w:shd w:val="clear" w:color="auto" w:fill="CCEEFF"/>
          </w:tcPr>
          <w:p>
            <w:pPr>
              <w:spacing w:after="0"/>
              <w:rPr>
                <w:sz w:val="2"/>
                <w:szCs w:val="2"/>
                <w:color w:val="auto"/>
              </w:rPr>
            </w:pPr>
          </w:p>
        </w:tc>
        <w:tc>
          <w:tcPr>
            <w:tcW w:w="120" w:type="dxa"/>
            <w:vAlign w:val="bottom"/>
            <w:tcBorders>
              <w:right w:val="single" w:sz="8" w:color="CCEEFF"/>
            </w:tcBorders>
            <w:shd w:val="clear" w:color="auto" w:fill="0000EE"/>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4400" w:type="dxa"/>
            <w:vAlign w:val="bottom"/>
            <w:tcBorders>
              <w:bottom w:val="single" w:sz="8" w:color="0000EE"/>
            </w:tcBorders>
            <w:gridSpan w:val="12"/>
          </w:tcPr>
          <w:p>
            <w:pPr>
              <w:spacing w:after="0" w:line="134" w:lineRule="exact"/>
              <w:rPr>
                <w:sz w:val="20"/>
                <w:szCs w:val="20"/>
                <w:color w:val="auto"/>
              </w:rPr>
            </w:pPr>
            <w:r>
              <w:rPr>
                <w:rFonts w:ascii="Times New Roman" w:cs="Times New Roman" w:eastAsia="Times New Roman" w:hAnsi="Times New Roman"/>
                <w:sz w:val="14"/>
                <w:szCs w:val="14"/>
                <w:color w:val="0000EE"/>
                <w:w w:val="96"/>
              </w:rPr>
              <w:t>CAUTIONARY NOTE REGARDING FORWARD-LOOKING STATEMENTS</w:t>
            </w:r>
          </w:p>
        </w:tc>
        <w:tc>
          <w:tcPr>
            <w:tcW w:w="240" w:type="dxa"/>
            <w:vAlign w:val="bottom"/>
          </w:tcPr>
          <w:p>
            <w:pPr>
              <w:spacing w:after="0"/>
              <w:rPr>
                <w:sz w:val="11"/>
                <w:szCs w:val="11"/>
                <w:color w:val="auto"/>
              </w:rPr>
            </w:pPr>
          </w:p>
        </w:tc>
        <w:tc>
          <w:tcPr>
            <w:tcW w:w="6020" w:type="dxa"/>
            <w:vAlign w:val="bottom"/>
            <w:gridSpan w:val="2"/>
          </w:tcPr>
          <w:p>
            <w:pPr>
              <w:spacing w:after="0"/>
              <w:rPr>
                <w:sz w:val="11"/>
                <w:szCs w:val="11"/>
                <w:color w:val="auto"/>
              </w:rPr>
            </w:pPr>
          </w:p>
        </w:tc>
        <w:tc>
          <w:tcPr>
            <w:tcW w:w="120" w:type="dxa"/>
            <w:vAlign w:val="bottom"/>
            <w:tcBorders>
              <w:bottom w:val="single" w:sz="8" w:color="0000EE"/>
            </w:tcBorders>
          </w:tcPr>
          <w:p>
            <w:pPr>
              <w:jc w:val="center"/>
              <w:spacing w:after="0" w:line="134" w:lineRule="exact"/>
              <w:rPr>
                <w:sz w:val="20"/>
                <w:szCs w:val="20"/>
                <w:color w:val="auto"/>
              </w:rPr>
            </w:pPr>
            <w:r>
              <w:rPr>
                <w:rFonts w:ascii="Times New Roman" w:cs="Times New Roman" w:eastAsia="Times New Roman" w:hAnsi="Times New Roman"/>
                <w:sz w:val="14"/>
                <w:szCs w:val="14"/>
                <w:color w:val="0000EE"/>
              </w:rPr>
              <w:t>4</w:t>
            </w: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640" w:type="dxa"/>
            <w:vAlign w:val="bottom"/>
            <w:gridSpan w:val="13"/>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0000EE"/>
              </w:rPr>
              <w:t>SUMMARY</w:t>
            </w:r>
          </w:p>
        </w:tc>
        <w:tc>
          <w:tcPr>
            <w:tcW w:w="6140" w:type="dxa"/>
            <w:vAlign w:val="bottom"/>
            <w:tcBorders>
              <w:right w:val="single" w:sz="8" w:color="CCEEFF"/>
            </w:tcBorders>
            <w:gridSpan w:val="3"/>
            <w:shd w:val="clear" w:color="auto" w:fill="CCEEFF"/>
          </w:tcPr>
          <w:p>
            <w:pPr>
              <w:jc w:val="center"/>
              <w:ind w:left="5911"/>
              <w:spacing w:after="0" w:line="145" w:lineRule="exact"/>
              <w:rPr>
                <w:sz w:val="20"/>
                <w:szCs w:val="20"/>
                <w:color w:val="auto"/>
              </w:rPr>
            </w:pPr>
            <w:r>
              <w:rPr>
                <w:rFonts w:ascii="Times New Roman" w:cs="Times New Roman" w:eastAsia="Times New Roman" w:hAnsi="Times New Roman"/>
                <w:sz w:val="14"/>
                <w:szCs w:val="14"/>
                <w:color w:val="0000EE"/>
              </w:rPr>
              <w:t>6</w:t>
            </w:r>
          </w:p>
        </w:tc>
        <w:tc>
          <w:tcPr>
            <w:tcW w:w="4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56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5500" w:type="dxa"/>
            <w:vAlign w:val="bottom"/>
            <w:shd w:val="clear" w:color="auto" w:fill="CCEEFF"/>
          </w:tcPr>
          <w:p>
            <w:pPr>
              <w:spacing w:after="0"/>
              <w:rPr>
                <w:sz w:val="2"/>
                <w:szCs w:val="2"/>
                <w:color w:val="auto"/>
              </w:rPr>
            </w:pPr>
          </w:p>
        </w:tc>
        <w:tc>
          <w:tcPr>
            <w:tcW w:w="520" w:type="dxa"/>
            <w:vAlign w:val="bottom"/>
            <w:tcBorders>
              <w:right w:val="single" w:sz="8" w:color="CCEEFF"/>
            </w:tcBorders>
            <w:shd w:val="clear" w:color="auto" w:fill="CCEEFF"/>
          </w:tcPr>
          <w:p>
            <w:pPr>
              <w:spacing w:after="0"/>
              <w:rPr>
                <w:sz w:val="2"/>
                <w:szCs w:val="2"/>
                <w:color w:val="auto"/>
              </w:rPr>
            </w:pPr>
          </w:p>
        </w:tc>
        <w:tc>
          <w:tcPr>
            <w:tcW w:w="120" w:type="dxa"/>
            <w:vAlign w:val="bottom"/>
            <w:tcBorders>
              <w:right w:val="single" w:sz="8" w:color="CCEEFF"/>
            </w:tcBorders>
            <w:shd w:val="clear" w:color="auto" w:fill="0000EE"/>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940" w:type="dxa"/>
            <w:vAlign w:val="bottom"/>
            <w:gridSpan w:val="3"/>
          </w:tcPr>
          <w:p>
            <w:pPr>
              <w:spacing w:after="0" w:line="134" w:lineRule="exact"/>
              <w:rPr>
                <w:sz w:val="20"/>
                <w:szCs w:val="20"/>
                <w:color w:val="auto"/>
              </w:rPr>
            </w:pPr>
            <w:r>
              <w:rPr>
                <w:rFonts w:ascii="Times New Roman" w:cs="Times New Roman" w:eastAsia="Times New Roman" w:hAnsi="Times New Roman"/>
                <w:sz w:val="14"/>
                <w:szCs w:val="14"/>
                <w:color w:val="0000EE"/>
                <w:w w:val="93"/>
              </w:rPr>
              <w:t>RISK FACTORS</w:t>
            </w:r>
          </w:p>
        </w:tc>
        <w:tc>
          <w:tcPr>
            <w:tcW w:w="3700" w:type="dxa"/>
            <w:vAlign w:val="bottom"/>
            <w:gridSpan w:val="10"/>
          </w:tcPr>
          <w:p>
            <w:pPr>
              <w:spacing w:after="0"/>
              <w:rPr>
                <w:sz w:val="11"/>
                <w:szCs w:val="11"/>
                <w:color w:val="auto"/>
              </w:rPr>
            </w:pPr>
          </w:p>
        </w:tc>
        <w:tc>
          <w:tcPr>
            <w:tcW w:w="6620" w:type="dxa"/>
            <w:vAlign w:val="bottom"/>
            <w:gridSpan w:val="4"/>
          </w:tcPr>
          <w:p>
            <w:pPr>
              <w:jc w:val="center"/>
              <w:ind w:left="5451"/>
              <w:spacing w:after="0" w:line="134" w:lineRule="exact"/>
              <w:rPr>
                <w:sz w:val="20"/>
                <w:szCs w:val="20"/>
                <w:color w:val="auto"/>
              </w:rPr>
            </w:pPr>
            <w:r>
              <w:rPr>
                <w:rFonts w:ascii="Times New Roman" w:cs="Times New Roman" w:eastAsia="Times New Roman" w:hAnsi="Times New Roman"/>
                <w:sz w:val="14"/>
                <w:szCs w:val="14"/>
                <w:color w:val="0000EE"/>
                <w:w w:val="99"/>
              </w:rPr>
              <w:t>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20" w:type="dxa"/>
            <w:vAlign w:val="bottom"/>
          </w:tcPr>
          <w:p>
            <w:pPr>
              <w:spacing w:after="0"/>
              <w:rPr>
                <w:sz w:val="12"/>
                <w:szCs w:val="12"/>
                <w:color w:val="auto"/>
              </w:rPr>
            </w:pPr>
          </w:p>
        </w:tc>
        <w:tc>
          <w:tcPr>
            <w:tcW w:w="4640" w:type="dxa"/>
            <w:vAlign w:val="bottom"/>
            <w:gridSpan w:val="13"/>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0000EE"/>
              </w:rPr>
              <w:t>USE OF PROCEEDS</w:t>
            </w:r>
          </w:p>
        </w:tc>
        <w:tc>
          <w:tcPr>
            <w:tcW w:w="6620" w:type="dxa"/>
            <w:vAlign w:val="bottom"/>
            <w:gridSpan w:val="4"/>
            <w:shd w:val="clear" w:color="auto" w:fill="CCEEFF"/>
          </w:tcPr>
          <w:p>
            <w:pPr>
              <w:jc w:val="center"/>
              <w:ind w:left="5451"/>
              <w:spacing w:after="0" w:line="145" w:lineRule="exact"/>
              <w:rPr>
                <w:sz w:val="20"/>
                <w:szCs w:val="20"/>
                <w:color w:val="auto"/>
              </w:rPr>
            </w:pPr>
            <w:r>
              <w:rPr>
                <w:rFonts w:ascii="Times New Roman" w:cs="Times New Roman" w:eastAsia="Times New Roman" w:hAnsi="Times New Roman"/>
                <w:sz w:val="14"/>
                <w:szCs w:val="14"/>
                <w:color w:val="0000EE"/>
                <w:w w:val="99"/>
              </w:rPr>
              <w:t>20</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56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5500" w:type="dxa"/>
            <w:vAlign w:val="bottom"/>
            <w:shd w:val="clear" w:color="auto" w:fill="CCEEFF"/>
          </w:tcPr>
          <w:p>
            <w:pPr>
              <w:spacing w:after="0"/>
              <w:rPr>
                <w:sz w:val="2"/>
                <w:szCs w:val="2"/>
                <w:color w:val="auto"/>
              </w:rPr>
            </w:pPr>
          </w:p>
        </w:tc>
        <w:tc>
          <w:tcPr>
            <w:tcW w:w="520" w:type="dxa"/>
            <w:vAlign w:val="bottom"/>
            <w:tcBorders>
              <w:right w:val="single" w:sz="8" w:color="0000EE"/>
            </w:tcBorders>
            <w:shd w:val="clear" w:color="auto" w:fill="CCEEFF"/>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4640" w:type="dxa"/>
            <w:vAlign w:val="bottom"/>
            <w:gridSpan w:val="13"/>
          </w:tcPr>
          <w:p>
            <w:pPr>
              <w:spacing w:after="0" w:line="134" w:lineRule="exact"/>
              <w:rPr>
                <w:sz w:val="20"/>
                <w:szCs w:val="20"/>
                <w:color w:val="auto"/>
              </w:rPr>
            </w:pPr>
            <w:r>
              <w:rPr>
                <w:rFonts w:ascii="Times New Roman" w:cs="Times New Roman" w:eastAsia="Times New Roman" w:hAnsi="Times New Roman"/>
                <w:sz w:val="14"/>
                <w:szCs w:val="14"/>
                <w:color w:val="0000EE"/>
              </w:rPr>
              <w:t>THE EXCHANGE OFFER</w:t>
            </w:r>
          </w:p>
        </w:tc>
        <w:tc>
          <w:tcPr>
            <w:tcW w:w="6620" w:type="dxa"/>
            <w:vAlign w:val="bottom"/>
            <w:gridSpan w:val="4"/>
          </w:tcPr>
          <w:p>
            <w:pPr>
              <w:jc w:val="center"/>
              <w:ind w:left="5451"/>
              <w:spacing w:after="0" w:line="134" w:lineRule="exact"/>
              <w:rPr>
                <w:sz w:val="20"/>
                <w:szCs w:val="20"/>
                <w:color w:val="auto"/>
              </w:rPr>
            </w:pPr>
            <w:r>
              <w:rPr>
                <w:rFonts w:ascii="Times New Roman" w:cs="Times New Roman" w:eastAsia="Times New Roman" w:hAnsi="Times New Roman"/>
                <w:sz w:val="14"/>
                <w:szCs w:val="14"/>
                <w:color w:val="0000EE"/>
                <w:w w:val="99"/>
              </w:rPr>
              <w:t>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20" w:type="dxa"/>
            <w:vAlign w:val="bottom"/>
          </w:tcPr>
          <w:p>
            <w:pPr>
              <w:spacing w:after="0"/>
              <w:rPr>
                <w:sz w:val="12"/>
                <w:szCs w:val="12"/>
                <w:color w:val="auto"/>
              </w:rPr>
            </w:pPr>
          </w:p>
        </w:tc>
        <w:tc>
          <w:tcPr>
            <w:tcW w:w="4640" w:type="dxa"/>
            <w:vAlign w:val="bottom"/>
            <w:gridSpan w:val="13"/>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0000EE"/>
              </w:rPr>
              <w:t>DESCRIPTION OF THE NOTES</w:t>
            </w:r>
          </w:p>
        </w:tc>
        <w:tc>
          <w:tcPr>
            <w:tcW w:w="6620" w:type="dxa"/>
            <w:vAlign w:val="bottom"/>
            <w:gridSpan w:val="4"/>
            <w:shd w:val="clear" w:color="auto" w:fill="CCEEFF"/>
          </w:tcPr>
          <w:p>
            <w:pPr>
              <w:jc w:val="center"/>
              <w:ind w:left="5451"/>
              <w:spacing w:after="0" w:line="145" w:lineRule="exact"/>
              <w:rPr>
                <w:sz w:val="20"/>
                <w:szCs w:val="20"/>
                <w:color w:val="auto"/>
              </w:rPr>
            </w:pPr>
            <w:r>
              <w:rPr>
                <w:rFonts w:ascii="Times New Roman" w:cs="Times New Roman" w:eastAsia="Times New Roman" w:hAnsi="Times New Roman"/>
                <w:sz w:val="14"/>
                <w:szCs w:val="14"/>
                <w:color w:val="0000EE"/>
                <w:w w:val="99"/>
              </w:rPr>
              <w:t>31</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56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5500" w:type="dxa"/>
            <w:vAlign w:val="bottom"/>
            <w:shd w:val="clear" w:color="auto" w:fill="CCEEFF"/>
          </w:tcPr>
          <w:p>
            <w:pPr>
              <w:spacing w:after="0"/>
              <w:rPr>
                <w:sz w:val="2"/>
                <w:szCs w:val="2"/>
                <w:color w:val="auto"/>
              </w:rPr>
            </w:pPr>
          </w:p>
        </w:tc>
        <w:tc>
          <w:tcPr>
            <w:tcW w:w="520" w:type="dxa"/>
            <w:vAlign w:val="bottom"/>
            <w:tcBorders>
              <w:right w:val="single" w:sz="8" w:color="0000EE"/>
            </w:tcBorders>
            <w:shd w:val="clear" w:color="auto" w:fill="CCEEFF"/>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4360" w:type="dxa"/>
            <w:vAlign w:val="bottom"/>
            <w:gridSpan w:val="11"/>
          </w:tcPr>
          <w:p>
            <w:pPr>
              <w:spacing w:after="0" w:line="134" w:lineRule="exact"/>
              <w:rPr>
                <w:sz w:val="20"/>
                <w:szCs w:val="20"/>
                <w:color w:val="auto"/>
              </w:rPr>
            </w:pPr>
            <w:r>
              <w:rPr>
                <w:rFonts w:ascii="Times New Roman" w:cs="Times New Roman" w:eastAsia="Times New Roman" w:hAnsi="Times New Roman"/>
                <w:sz w:val="14"/>
                <w:szCs w:val="14"/>
                <w:color w:val="0000EE"/>
                <w:w w:val="95"/>
              </w:rPr>
              <w:t>CERTAIN UNITED STATES FEDERAL INCOME TAX CONSIDERATIONS</w:t>
            </w:r>
          </w:p>
        </w:tc>
        <w:tc>
          <w:tcPr>
            <w:tcW w:w="280" w:type="dxa"/>
            <w:vAlign w:val="bottom"/>
            <w:gridSpan w:val="2"/>
          </w:tcPr>
          <w:p>
            <w:pPr>
              <w:spacing w:after="0"/>
              <w:rPr>
                <w:sz w:val="11"/>
                <w:szCs w:val="11"/>
                <w:color w:val="auto"/>
              </w:rPr>
            </w:pPr>
          </w:p>
        </w:tc>
        <w:tc>
          <w:tcPr>
            <w:tcW w:w="6620" w:type="dxa"/>
            <w:vAlign w:val="bottom"/>
            <w:gridSpan w:val="4"/>
          </w:tcPr>
          <w:p>
            <w:pPr>
              <w:jc w:val="center"/>
              <w:ind w:left="5451"/>
              <w:spacing w:after="0" w:line="134" w:lineRule="exact"/>
              <w:rPr>
                <w:sz w:val="20"/>
                <w:szCs w:val="20"/>
                <w:color w:val="auto"/>
              </w:rPr>
            </w:pPr>
            <w:r>
              <w:rPr>
                <w:rFonts w:ascii="Times New Roman" w:cs="Times New Roman" w:eastAsia="Times New Roman" w:hAnsi="Times New Roman"/>
                <w:sz w:val="14"/>
                <w:szCs w:val="14"/>
                <w:color w:val="0000EE"/>
                <w:w w:val="99"/>
              </w:rPr>
              <w:t>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20" w:type="dxa"/>
            <w:vAlign w:val="bottom"/>
          </w:tcPr>
          <w:p>
            <w:pPr>
              <w:spacing w:after="0"/>
              <w:rPr>
                <w:sz w:val="12"/>
                <w:szCs w:val="12"/>
                <w:color w:val="auto"/>
              </w:rPr>
            </w:pPr>
          </w:p>
        </w:tc>
        <w:tc>
          <w:tcPr>
            <w:tcW w:w="4360" w:type="dxa"/>
            <w:vAlign w:val="bottom"/>
            <w:gridSpan w:val="11"/>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0000EE"/>
              </w:rPr>
              <w:t>PLAN OF DISTRIBUTION</w:t>
            </w:r>
          </w:p>
        </w:tc>
        <w:tc>
          <w:tcPr>
            <w:tcW w:w="280" w:type="dxa"/>
            <w:vAlign w:val="bottom"/>
            <w:gridSpan w:val="2"/>
            <w:shd w:val="clear" w:color="auto" w:fill="CCEEFF"/>
          </w:tcPr>
          <w:p>
            <w:pPr>
              <w:spacing w:after="0"/>
              <w:rPr>
                <w:sz w:val="12"/>
                <w:szCs w:val="12"/>
                <w:color w:val="auto"/>
              </w:rPr>
            </w:pPr>
          </w:p>
        </w:tc>
        <w:tc>
          <w:tcPr>
            <w:tcW w:w="6620" w:type="dxa"/>
            <w:vAlign w:val="bottom"/>
            <w:gridSpan w:val="4"/>
            <w:shd w:val="clear" w:color="auto" w:fill="CCEEFF"/>
          </w:tcPr>
          <w:p>
            <w:pPr>
              <w:jc w:val="center"/>
              <w:ind w:left="5451"/>
              <w:spacing w:after="0" w:line="145" w:lineRule="exact"/>
              <w:rPr>
                <w:sz w:val="20"/>
                <w:szCs w:val="20"/>
                <w:color w:val="auto"/>
              </w:rPr>
            </w:pPr>
            <w:r>
              <w:rPr>
                <w:rFonts w:ascii="Times New Roman" w:cs="Times New Roman" w:eastAsia="Times New Roman" w:hAnsi="Times New Roman"/>
                <w:sz w:val="14"/>
                <w:szCs w:val="14"/>
                <w:color w:val="0000EE"/>
                <w:w w:val="99"/>
              </w:rPr>
              <w:t>48</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56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180" w:type="dxa"/>
            <w:vAlign w:val="bottom"/>
            <w:tcBorders>
              <w:left w:val="single" w:sz="8" w:color="0000EE"/>
            </w:tcBorders>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5500" w:type="dxa"/>
            <w:vAlign w:val="bottom"/>
            <w:shd w:val="clear" w:color="auto" w:fill="CCEEFF"/>
          </w:tcPr>
          <w:p>
            <w:pPr>
              <w:spacing w:after="0"/>
              <w:rPr>
                <w:sz w:val="2"/>
                <w:szCs w:val="2"/>
                <w:color w:val="auto"/>
              </w:rPr>
            </w:pPr>
          </w:p>
        </w:tc>
        <w:tc>
          <w:tcPr>
            <w:tcW w:w="520" w:type="dxa"/>
            <w:vAlign w:val="bottom"/>
            <w:tcBorders>
              <w:right w:val="single" w:sz="8" w:color="0000EE"/>
            </w:tcBorders>
            <w:shd w:val="clear" w:color="auto" w:fill="CCEEFF"/>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100" w:type="dxa"/>
            <w:vAlign w:val="bottom"/>
            <w:gridSpan w:val="4"/>
          </w:tcPr>
          <w:p>
            <w:pPr>
              <w:spacing w:after="0" w:line="134" w:lineRule="exact"/>
              <w:rPr>
                <w:sz w:val="20"/>
                <w:szCs w:val="20"/>
                <w:color w:val="auto"/>
              </w:rPr>
            </w:pPr>
            <w:r>
              <w:rPr>
                <w:rFonts w:ascii="Times New Roman" w:cs="Times New Roman" w:eastAsia="Times New Roman" w:hAnsi="Times New Roman"/>
                <w:sz w:val="14"/>
                <w:szCs w:val="14"/>
                <w:color w:val="0000EE"/>
                <w:w w:val="94"/>
              </w:rPr>
              <w:t>LEGAL MATTERS</w:t>
            </w:r>
          </w:p>
        </w:tc>
        <w:tc>
          <w:tcPr>
            <w:tcW w:w="400" w:type="dxa"/>
            <w:vAlign w:val="bottom"/>
            <w:gridSpan w:val="2"/>
          </w:tcPr>
          <w:p>
            <w:pPr>
              <w:spacing w:after="0"/>
              <w:rPr>
                <w:sz w:val="11"/>
                <w:szCs w:val="11"/>
                <w:color w:val="auto"/>
              </w:rPr>
            </w:pPr>
          </w:p>
        </w:tc>
        <w:tc>
          <w:tcPr>
            <w:tcW w:w="3140" w:type="dxa"/>
            <w:vAlign w:val="bottom"/>
            <w:gridSpan w:val="7"/>
          </w:tcPr>
          <w:p>
            <w:pPr>
              <w:spacing w:after="0"/>
              <w:rPr>
                <w:sz w:val="11"/>
                <w:szCs w:val="11"/>
                <w:color w:val="auto"/>
              </w:rPr>
            </w:pPr>
          </w:p>
        </w:tc>
        <w:tc>
          <w:tcPr>
            <w:tcW w:w="6620" w:type="dxa"/>
            <w:vAlign w:val="bottom"/>
            <w:gridSpan w:val="4"/>
          </w:tcPr>
          <w:p>
            <w:pPr>
              <w:jc w:val="center"/>
              <w:ind w:left="5451"/>
              <w:spacing w:after="0" w:line="134" w:lineRule="exact"/>
              <w:rPr>
                <w:sz w:val="20"/>
                <w:szCs w:val="20"/>
                <w:color w:val="auto"/>
              </w:rPr>
            </w:pPr>
            <w:r>
              <w:rPr>
                <w:rFonts w:ascii="Times New Roman" w:cs="Times New Roman" w:eastAsia="Times New Roman" w:hAnsi="Times New Roman"/>
                <w:sz w:val="14"/>
                <w:szCs w:val="14"/>
                <w:color w:val="0000EE"/>
                <w:w w:val="99"/>
              </w:rPr>
              <w:t>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1100" w:type="dxa"/>
            <w:vAlign w:val="bottom"/>
            <w:gridSpan w:val="4"/>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0000EE"/>
              </w:rPr>
              <w:t>EXPERTS</w:t>
            </w:r>
          </w:p>
        </w:tc>
        <w:tc>
          <w:tcPr>
            <w:tcW w:w="3540" w:type="dxa"/>
            <w:vAlign w:val="bottom"/>
            <w:gridSpan w:val="9"/>
            <w:shd w:val="clear" w:color="auto" w:fill="CCEEFF"/>
          </w:tcPr>
          <w:p>
            <w:pPr>
              <w:spacing w:after="0"/>
              <w:rPr>
                <w:sz w:val="13"/>
                <w:szCs w:val="13"/>
                <w:color w:val="auto"/>
              </w:rPr>
            </w:pPr>
          </w:p>
        </w:tc>
        <w:tc>
          <w:tcPr>
            <w:tcW w:w="6620" w:type="dxa"/>
            <w:vAlign w:val="bottom"/>
            <w:gridSpan w:val="4"/>
            <w:shd w:val="clear" w:color="auto" w:fill="CCEEFF"/>
          </w:tcPr>
          <w:p>
            <w:pPr>
              <w:jc w:val="center"/>
              <w:ind w:left="5451"/>
              <w:spacing w:after="0" w:line="145" w:lineRule="exact"/>
              <w:rPr>
                <w:sz w:val="20"/>
                <w:szCs w:val="20"/>
                <w:color w:val="auto"/>
              </w:rPr>
            </w:pPr>
            <w:r>
              <w:rPr>
                <w:rFonts w:ascii="Times New Roman" w:cs="Times New Roman" w:eastAsia="Times New Roman" w:hAnsi="Times New Roman"/>
                <w:sz w:val="14"/>
                <w:szCs w:val="14"/>
                <w:color w:val="0000EE"/>
                <w:w w:val="99"/>
              </w:rPr>
              <w:t>49</w:t>
            </w:r>
          </w:p>
        </w:tc>
        <w:tc>
          <w:tcPr>
            <w:tcW w:w="0" w:type="dxa"/>
            <w:vAlign w:val="bottom"/>
          </w:tcPr>
          <w:p>
            <w:pPr>
              <w:spacing w:after="0"/>
              <w:rPr>
                <w:sz w:val="1"/>
                <w:szCs w:val="1"/>
                <w:color w:val="auto"/>
              </w:rPr>
            </w:pPr>
          </w:p>
        </w:tc>
      </w:tr>
      <w:tr>
        <w:trPr>
          <w:trHeight w:val="515"/>
        </w:trPr>
        <w:tc>
          <w:tcPr>
            <w:tcW w:w="20" w:type="dxa"/>
            <w:vAlign w:val="bottom"/>
          </w:tcPr>
          <w:p>
            <w:pPr>
              <w:spacing w:after="0"/>
              <w:rPr>
                <w:sz w:val="24"/>
                <w:szCs w:val="24"/>
                <w:color w:val="auto"/>
              </w:rPr>
            </w:pPr>
          </w:p>
        </w:tc>
        <w:tc>
          <w:tcPr>
            <w:tcW w:w="56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32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1040" w:type="dxa"/>
            <w:vAlign w:val="bottom"/>
            <w:tcBorders>
              <w:top w:val="single" w:sz="8" w:color="CCEEFF"/>
              <w:bottom w:val="single" w:sz="8" w:color="auto"/>
            </w:tcBorders>
          </w:tcPr>
          <w:p>
            <w:pPr>
              <w:spacing w:after="0"/>
              <w:rPr>
                <w:sz w:val="24"/>
                <w:szCs w:val="24"/>
                <w:color w:val="auto"/>
              </w:rPr>
            </w:pPr>
          </w:p>
        </w:tc>
        <w:tc>
          <w:tcPr>
            <w:tcW w:w="940" w:type="dxa"/>
            <w:vAlign w:val="bottom"/>
            <w:tcBorders>
              <w:top w:val="single" w:sz="8" w:color="CCEEFF"/>
              <w:bottom w:val="single" w:sz="8" w:color="auto"/>
            </w:tcBorders>
          </w:tcPr>
          <w:p>
            <w:pPr>
              <w:spacing w:after="0"/>
              <w:rPr>
                <w:sz w:val="24"/>
                <w:szCs w:val="24"/>
                <w:color w:val="auto"/>
              </w:rPr>
            </w:pPr>
          </w:p>
        </w:tc>
        <w:tc>
          <w:tcPr>
            <w:tcW w:w="52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5500" w:type="dxa"/>
            <w:vAlign w:val="bottom"/>
            <w:tcBorders>
              <w:top w:val="single" w:sz="8" w:color="CCEEFF"/>
              <w:bottom w:val="single" w:sz="8" w:color="auto"/>
            </w:tcBorders>
          </w:tcPr>
          <w:p>
            <w:pPr>
              <w:spacing w:after="0"/>
              <w:rPr>
                <w:sz w:val="24"/>
                <w:szCs w:val="24"/>
                <w:color w:val="auto"/>
              </w:rPr>
            </w:pPr>
          </w:p>
        </w:tc>
        <w:tc>
          <w:tcPr>
            <w:tcW w:w="5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48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720" w:right="31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4"/>
          <w:szCs w:val="14"/>
          <w:b w:val="1"/>
          <w:bCs w:val="1"/>
          <w:color w:val="auto"/>
        </w:rPr>
        <w:t>ABOUT THIS PROSPECTUS</w:t>
      </w:r>
    </w:p>
    <w:p>
      <w:pPr>
        <w:spacing w:after="0" w:line="173" w:lineRule="exact"/>
        <w:rPr>
          <w:sz w:val="20"/>
          <w:szCs w:val="20"/>
          <w:color w:val="auto"/>
        </w:rPr>
      </w:pPr>
    </w:p>
    <w:p>
      <w:pPr>
        <w:ind w:firstLine="495"/>
        <w:spacing w:after="0" w:line="287" w:lineRule="auto"/>
        <w:rPr>
          <w:sz w:val="20"/>
          <w:szCs w:val="20"/>
          <w:color w:val="auto"/>
        </w:rPr>
      </w:pPr>
      <w:r>
        <w:rPr>
          <w:rFonts w:ascii="Times New Roman" w:cs="Times New Roman" w:eastAsia="Times New Roman" w:hAnsi="Times New Roman"/>
          <w:sz w:val="13"/>
          <w:szCs w:val="13"/>
          <w:color w:val="auto"/>
        </w:rPr>
        <w:t>This prospectus is a part of a registration statement that we have filed with the U.S. Securities and Exchange Commission (the “SEC”) under the Securities Act. This prospectus does not contain all the information set forth in the registration statement, certain parts of which are omitted in accordance with the rules and regulations of the SEC. For further information with respect to us, the exchange offer and the securities offered by this prospectus, reference is made to the registration statement, including the exhibits to the registration statement and the documents incorporated by reference.</w:t>
      </w:r>
    </w:p>
    <w:p>
      <w:pPr>
        <w:spacing w:after="0" w:line="123" w:lineRule="exact"/>
        <w:rPr>
          <w:sz w:val="20"/>
          <w:szCs w:val="20"/>
          <w:color w:val="auto"/>
        </w:rPr>
      </w:pPr>
    </w:p>
    <w:p>
      <w:pPr>
        <w:ind w:firstLine="495"/>
        <w:spacing w:after="0" w:line="252" w:lineRule="auto"/>
        <w:rPr>
          <w:sz w:val="20"/>
          <w:szCs w:val="20"/>
          <w:color w:val="auto"/>
        </w:rPr>
      </w:pPr>
      <w:r>
        <w:rPr>
          <w:rFonts w:ascii="Times New Roman" w:cs="Times New Roman" w:eastAsia="Times New Roman" w:hAnsi="Times New Roman"/>
          <w:sz w:val="14"/>
          <w:szCs w:val="14"/>
          <w:color w:val="auto"/>
        </w:rPr>
        <w:t>We are providing this prospectus to holders of Old Notes in connection with our offer to exchange Old Notes for New Notes. We are not making this exchange offer in any jurisdiction where the exchange offer is not permitted. You should rely only on the information contained or incorporated by reference in this prospectus and in the accompanying exchange offer transmittal documents filed by us with the SEC. We have not authorized any other person to provide you with any other information. We take no responsibility for, and provide no assurance as to the reliability of, any other information that others may give you. You should not assume that the information contained or incorporated by reference in this prospectus is accurate as of any date other than the date of the applicable document that contains that information. Our business, financial condition, results of operations and prospects may have changed since that date.</w:t>
      </w:r>
    </w:p>
    <w:p>
      <w:pPr>
        <w:spacing w:after="0" w:line="144" w:lineRule="exact"/>
        <w:rPr>
          <w:sz w:val="20"/>
          <w:szCs w:val="20"/>
          <w:color w:val="auto"/>
        </w:rPr>
      </w:pPr>
    </w:p>
    <w:p>
      <w:pPr>
        <w:ind w:right="380" w:firstLine="495"/>
        <w:spacing w:after="0" w:line="271" w:lineRule="auto"/>
        <w:rPr>
          <w:sz w:val="20"/>
          <w:szCs w:val="20"/>
          <w:color w:val="auto"/>
        </w:rPr>
      </w:pPr>
      <w:r>
        <w:rPr>
          <w:rFonts w:ascii="Times New Roman" w:cs="Times New Roman" w:eastAsia="Times New Roman" w:hAnsi="Times New Roman"/>
          <w:sz w:val="14"/>
          <w:szCs w:val="14"/>
          <w:color w:val="auto"/>
        </w:rPr>
        <w:t>You should not consider any information in this prospectus to be investment, legal or tax advice. You should consult your own counsel, accountant and other advisors for legal, tax, business, financial and related advice regarding the exchange offer and ownership of these securities.</w:t>
      </w:r>
    </w:p>
    <w:p>
      <w:pPr>
        <w:spacing w:after="0" w:line="131" w:lineRule="exact"/>
        <w:rPr>
          <w:sz w:val="20"/>
          <w:szCs w:val="20"/>
          <w:color w:val="auto"/>
        </w:rPr>
      </w:pPr>
    </w:p>
    <w:p>
      <w:pPr>
        <w:ind w:right="20" w:firstLine="495"/>
        <w:spacing w:after="0" w:line="280" w:lineRule="auto"/>
        <w:rPr>
          <w:sz w:val="20"/>
          <w:szCs w:val="20"/>
          <w:color w:val="auto"/>
        </w:rPr>
      </w:pPr>
      <w:r>
        <w:rPr>
          <w:rFonts w:ascii="Times New Roman" w:cs="Times New Roman" w:eastAsia="Times New Roman" w:hAnsi="Times New Roman"/>
          <w:sz w:val="13"/>
          <w:szCs w:val="13"/>
          <w:color w:val="auto"/>
        </w:rPr>
        <w:t xml:space="preserve">Each broker-dealer that receives New Notes for its own account in exchange for Old Notes acquired by the broker-dealer as a result of market-making or other trading activities must acknowledge that it will deliver a prospectus meeting the requirements of the Securities Act in connection with any resale of such New Notes. This prospectus, as it may be amended or supplemented from time to time, may be used by a participating broker-dealer in connection with resales of New Notes received in exchange for Old Notes. We have agreed in the letter of transmittal to make this prospectus, as amended or supplemented, available to any such broker-dealer that requests copies of this prospectus for use in connection with any such resale. See the section entitled </w:t>
      </w:r>
      <w:r>
        <w:rPr>
          <w:rFonts w:ascii="Times New Roman" w:cs="Times New Roman" w:eastAsia="Times New Roman" w:hAnsi="Times New Roman"/>
          <w:sz w:val="13"/>
          <w:szCs w:val="13"/>
          <w:i w:val="1"/>
          <w:iCs w:val="1"/>
          <w:color w:val="auto"/>
        </w:rPr>
        <w:t>“Plan of Distribution”</w:t>
      </w:r>
      <w:r>
        <w:rPr>
          <w:rFonts w:ascii="Times New Roman" w:cs="Times New Roman" w:eastAsia="Times New Roman" w:hAnsi="Times New Roman"/>
          <w:sz w:val="13"/>
          <w:szCs w:val="13"/>
          <w:color w:val="auto"/>
        </w:rPr>
        <w:t xml:space="preserve"> beginning on page 48.</w:t>
      </w:r>
    </w:p>
    <w:p>
      <w:pPr>
        <w:spacing w:after="0" w:line="127" w:lineRule="exact"/>
        <w:rPr>
          <w:sz w:val="20"/>
          <w:szCs w:val="20"/>
          <w:color w:val="auto"/>
        </w:rPr>
      </w:pPr>
    </w:p>
    <w:p>
      <w:pPr>
        <w:ind w:right="120" w:firstLine="495"/>
        <w:spacing w:after="0" w:line="271" w:lineRule="auto"/>
        <w:rPr>
          <w:sz w:val="20"/>
          <w:szCs w:val="20"/>
          <w:color w:val="auto"/>
        </w:rPr>
      </w:pPr>
      <w:r>
        <w:rPr>
          <w:rFonts w:ascii="Times New Roman" w:cs="Times New Roman" w:eastAsia="Times New Roman" w:hAnsi="Times New Roman"/>
          <w:sz w:val="14"/>
          <w:szCs w:val="14"/>
          <w:color w:val="auto"/>
        </w:rPr>
        <w:t>References in this prospectus to “we,” “us,” “our,” “Hanover Bancorp” or the “Company” refer to Hanover Bancorp, Inc. and its subsidiaries, unless the context otherwise requires. References in this prospectus to the “Bank” refer to Hanover Community Bank, a New York chartered commercial bank and wholly-owned subsidiary of the Company.</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wp:posOffset>
            </wp:positionV>
            <wp:extent cx="7164705" cy="63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720" w:right="31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73" w:lineRule="exact"/>
        <w:rPr>
          <w:sz w:val="20"/>
          <w:szCs w:val="20"/>
          <w:color w:val="auto"/>
        </w:rPr>
      </w:pPr>
    </w:p>
    <w:p>
      <w:pPr>
        <w:ind w:right="300" w:firstLine="495"/>
        <w:spacing w:after="0" w:line="254" w:lineRule="auto"/>
        <w:rPr>
          <w:sz w:val="20"/>
          <w:szCs w:val="20"/>
          <w:color w:val="auto"/>
        </w:rPr>
      </w:pPr>
      <w:r>
        <w:rPr>
          <w:rFonts w:ascii="Times New Roman" w:cs="Times New Roman" w:eastAsia="Times New Roman" w:hAnsi="Times New Roman"/>
          <w:sz w:val="14"/>
          <w:szCs w:val="14"/>
          <w:color w:val="auto"/>
        </w:rPr>
        <w:t>We are subject to the informational requirements of the Securities Exchange Act of 1934, as amended (the “Exchange Act”), and therefore we file annual, quarterly and current reports, proxy statements, and other documents with the SEC. The SEC maintains a website at https://www.sec.gov that contains reports, proxies, information statements, and other information regarding registrants, including us, that file electronically with the SEC. We also maintain a website at https://www.hanoverbank.com; however, the information contained on our website does not constitute part of this prospectus.</w:t>
      </w:r>
    </w:p>
    <w:p>
      <w:pPr>
        <w:spacing w:after="0" w:line="143" w:lineRule="exact"/>
        <w:rPr>
          <w:sz w:val="20"/>
          <w:szCs w:val="20"/>
          <w:color w:val="auto"/>
        </w:rPr>
      </w:pPr>
    </w:p>
    <w:p>
      <w:pPr>
        <w:jc w:val="both"/>
        <w:ind w:firstLine="495"/>
        <w:spacing w:after="0" w:line="258" w:lineRule="auto"/>
        <w:rPr>
          <w:sz w:val="20"/>
          <w:szCs w:val="20"/>
          <w:color w:val="auto"/>
        </w:rPr>
      </w:pPr>
      <w:r>
        <w:rPr>
          <w:rFonts w:ascii="Times New Roman" w:cs="Times New Roman" w:eastAsia="Times New Roman" w:hAnsi="Times New Roman"/>
          <w:sz w:val="14"/>
          <w:szCs w:val="14"/>
          <w:color w:val="auto"/>
        </w:rPr>
        <w:t>We have filed with the SEC a registration statement on Form S-4 relating to the New Notes and the exchange offer. This prospectus is a part of the registration statement and, as permitted by SEC rules, does not contain all of the information in the registration statement. The registration statement, including the exhibits thereto, contains additional relevant information about us, the New Notes and the exchange offer.</w:t>
      </w: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wp:posOffset>
            </wp:positionV>
            <wp:extent cx="7164705" cy="63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60"/>
          </w:cols>
          <w:pgMar w:left="300" w:top="720" w:right="33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INCORPORATION OF CERTAIN DOCUMENTS BY REFERENCE</w:t>
      </w:r>
    </w:p>
    <w:p>
      <w:pPr>
        <w:spacing w:after="0" w:line="173" w:lineRule="exact"/>
        <w:rPr>
          <w:sz w:val="20"/>
          <w:szCs w:val="20"/>
          <w:color w:val="auto"/>
        </w:rPr>
      </w:pPr>
    </w:p>
    <w:p>
      <w:pPr>
        <w:ind w:right="20" w:firstLine="495"/>
        <w:spacing w:after="0" w:line="250" w:lineRule="auto"/>
        <w:rPr>
          <w:sz w:val="20"/>
          <w:szCs w:val="20"/>
          <w:color w:val="auto"/>
        </w:rPr>
      </w:pPr>
      <w:r>
        <w:rPr>
          <w:rFonts w:ascii="Times New Roman" w:cs="Times New Roman" w:eastAsia="Times New Roman" w:hAnsi="Times New Roman"/>
          <w:sz w:val="14"/>
          <w:szCs w:val="14"/>
          <w:color w:val="auto"/>
        </w:rPr>
        <w:t>The SEC allows us to incorporate by reference in this prospectus the information in other documents that we file with it, which means that we can disclose important information to you by referring you to those documents. The information incorporated by reference is considered to be part of this prospectus, and information that we file later with the SEC that is incorporated by reference in this prospectus will automatically update and supersede information contained in documents filed earlier with the SEC or contained in this prospectus. We incorporate by reference the following documents we have filed with the SEC and the future filings we make with the SEC under Section 13(a), 13(c), 14, or 15(d) of the Exchange Act, after the date of this prospectus until the date we complete the exchange offer (in each case excluding any information furnished and not filed according to SEC rules, such as information furnished pursuant to Item 2.02 or Item 7.01 on any Current Report on Form 8-K):</w:t>
      </w:r>
    </w:p>
    <w:p>
      <w:pPr>
        <w:spacing w:after="0" w:line="148" w:lineRule="exact"/>
        <w:rPr>
          <w:sz w:val="20"/>
          <w:szCs w:val="20"/>
          <w:color w:val="auto"/>
        </w:rPr>
      </w:pPr>
    </w:p>
    <w:p>
      <w:pPr>
        <w:ind w:left="1000" w:hanging="503"/>
        <w:spacing w:after="0"/>
        <w:tabs>
          <w:tab w:leader="none" w:pos="1000" w:val="left"/>
        </w:tabs>
        <w:numPr>
          <w:ilvl w:val="0"/>
          <w:numId w:val="1"/>
        </w:numPr>
        <w:rPr>
          <w:rFonts w:ascii="Times New Roman" w:cs="Times New Roman" w:eastAsia="Times New Roman" w:hAnsi="Times New Roman"/>
          <w:sz w:val="14"/>
          <w:szCs w:val="14"/>
          <w:u w:val="single" w:color="auto"/>
          <w:color w:val="0000EE"/>
        </w:rPr>
      </w:pPr>
      <w:hyperlink r:id="rId22">
        <w:r>
          <w:rPr>
            <w:rFonts w:ascii="Times New Roman" w:cs="Times New Roman" w:eastAsia="Times New Roman" w:hAnsi="Times New Roman"/>
            <w:sz w:val="14"/>
            <w:szCs w:val="14"/>
            <w:u w:val="single" w:color="auto"/>
            <w:color w:val="0000EE"/>
          </w:rPr>
          <w:t>Our Annual Report on Form 10-K for the year ended December 31, 2025;</w:t>
        </w:r>
      </w:hyperlink>
    </w:p>
    <w:p>
      <w:pPr>
        <w:spacing w:after="0" w:line="168" w:lineRule="exact"/>
        <w:rPr>
          <w:rFonts w:ascii="Times New Roman" w:cs="Times New Roman" w:eastAsia="Times New Roman" w:hAnsi="Times New Roman"/>
          <w:sz w:val="14"/>
          <w:szCs w:val="14"/>
          <w:u w:val="single" w:color="auto"/>
          <w:color w:val="0000EE"/>
        </w:rPr>
      </w:pPr>
    </w:p>
    <w:p>
      <w:pPr>
        <w:ind w:left="1000" w:hanging="503"/>
        <w:spacing w:after="0"/>
        <w:tabs>
          <w:tab w:leader="none" w:pos="1000" w:val="left"/>
        </w:tabs>
        <w:numPr>
          <w:ilvl w:val="0"/>
          <w:numId w:val="1"/>
        </w:numPr>
        <w:rPr>
          <w:rFonts w:ascii="Times New Roman" w:cs="Times New Roman" w:eastAsia="Times New Roman" w:hAnsi="Times New Roman"/>
          <w:sz w:val="14"/>
          <w:szCs w:val="14"/>
          <w:u w:val="single" w:color="auto"/>
          <w:color w:val="0000EE"/>
        </w:rPr>
      </w:pPr>
      <w:hyperlink r:id="rId28">
        <w:r>
          <w:rPr>
            <w:rFonts w:ascii="Times New Roman" w:cs="Times New Roman" w:eastAsia="Times New Roman" w:hAnsi="Times New Roman"/>
            <w:sz w:val="14"/>
            <w:szCs w:val="14"/>
            <w:u w:val="single" w:color="auto"/>
            <w:color w:val="0000EE"/>
          </w:rPr>
          <w:t>Our Quarterly Report on Form 10-Q for the quarter ended March 31, 2026;</w:t>
        </w:r>
      </w:hyperlink>
    </w:p>
    <w:p>
      <w:pPr>
        <w:spacing w:after="0" w:line="168" w:lineRule="exact"/>
        <w:rPr>
          <w:rFonts w:ascii="Times New Roman" w:cs="Times New Roman" w:eastAsia="Times New Roman" w:hAnsi="Times New Roman"/>
          <w:sz w:val="14"/>
          <w:szCs w:val="14"/>
          <w:u w:val="single" w:color="auto"/>
          <w:color w:val="0000EE"/>
        </w:rPr>
      </w:pPr>
    </w:p>
    <w:p>
      <w:pPr>
        <w:ind w:left="1000" w:right="300" w:hanging="503"/>
        <w:spacing w:after="0" w:line="270" w:lineRule="auto"/>
        <w:tabs>
          <w:tab w:leader="none" w:pos="1000" w:val="left"/>
        </w:tabs>
        <w:numPr>
          <w:ilvl w:val="0"/>
          <w:numId w:val="1"/>
        </w:numPr>
        <w:rPr>
          <w:rFonts w:ascii="Times New Roman" w:cs="Times New Roman" w:eastAsia="Times New Roman" w:hAnsi="Times New Roman"/>
          <w:sz w:val="14"/>
          <w:szCs w:val="14"/>
          <w:color w:val="0000EE"/>
        </w:rPr>
      </w:pPr>
      <w:hyperlink r:id="rId22">
        <w:r>
          <w:rPr>
            <w:rFonts w:ascii="Times New Roman" w:cs="Times New Roman" w:eastAsia="Times New Roman" w:hAnsi="Times New Roman"/>
            <w:sz w:val="14"/>
            <w:szCs w:val="14"/>
            <w:color w:val="auto"/>
          </w:rPr>
          <w:t xml:space="preserve">The portions of our </w:t>
        </w:r>
        <w:r>
          <w:rPr>
            <w:rFonts w:ascii="Times New Roman" w:cs="Times New Roman" w:eastAsia="Times New Roman" w:hAnsi="Times New Roman"/>
            <w:sz w:val="14"/>
            <w:szCs w:val="14"/>
            <w:u w:val="single" w:color="auto"/>
            <w:color w:val="0000EE"/>
          </w:rPr>
          <w:t>Definitive Proxy Statement on Schedule 14A, filed on April 23, 2026</w:t>
        </w:r>
        <w:r>
          <w:rPr>
            <w:rFonts w:ascii="Times New Roman" w:cs="Times New Roman" w:eastAsia="Times New Roman" w:hAnsi="Times New Roman"/>
            <w:sz w:val="14"/>
            <w:szCs w:val="14"/>
            <w:color w:val="auto"/>
          </w:rPr>
          <w:t xml:space="preserve">, that are incorporated by reference into our </w:t>
        </w:r>
        <w:r>
          <w:rPr>
            <w:rFonts w:ascii="Times New Roman" w:cs="Times New Roman" w:eastAsia="Times New Roman" w:hAnsi="Times New Roman"/>
            <w:sz w:val="14"/>
            <w:szCs w:val="14"/>
            <w:u w:val="single" w:color="auto"/>
            <w:color w:val="0000EE"/>
          </w:rPr>
          <w:t>Annual Report on Form 10-K for the year ended</w:t>
        </w:r>
      </w:hyperlink>
      <w:r>
        <w:rPr>
          <w:rFonts w:ascii="Times New Roman" w:cs="Times New Roman" w:eastAsia="Times New Roman" w:hAnsi="Times New Roman"/>
          <w:sz w:val="14"/>
          <w:szCs w:val="14"/>
          <w:color w:val="auto"/>
        </w:rPr>
        <w:t xml:space="preserve"> </w:t>
      </w:r>
      <w:hyperlink r:id="rId22">
        <w:r>
          <w:rPr>
            <w:rFonts w:ascii="Times New Roman" w:cs="Times New Roman" w:eastAsia="Times New Roman" w:hAnsi="Times New Roman"/>
            <w:sz w:val="14"/>
            <w:szCs w:val="14"/>
            <w:u w:val="single" w:color="auto"/>
            <w:color w:val="0000EE"/>
          </w:rPr>
          <w:t>December 31, 2025</w:t>
        </w:r>
        <w:r>
          <w:rPr>
            <w:rFonts w:ascii="Times New Roman" w:cs="Times New Roman" w:eastAsia="Times New Roman" w:hAnsi="Times New Roman"/>
            <w:sz w:val="14"/>
            <w:szCs w:val="14"/>
            <w:color w:val="000000"/>
          </w:rPr>
          <w:t>; and</w:t>
        </w:r>
      </w:hyperlink>
    </w:p>
    <w:p>
      <w:pPr>
        <w:spacing w:after="0" w:line="131" w:lineRule="exact"/>
        <w:rPr>
          <w:rFonts w:ascii="Times New Roman" w:cs="Times New Roman" w:eastAsia="Times New Roman" w:hAnsi="Times New Roman"/>
          <w:sz w:val="14"/>
          <w:szCs w:val="14"/>
          <w:color w:val="0000EE"/>
        </w:rPr>
      </w:pPr>
    </w:p>
    <w:p>
      <w:pPr>
        <w:ind w:left="1000" w:hanging="503"/>
        <w:spacing w:after="0"/>
        <w:tabs>
          <w:tab w:leader="none" w:pos="10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Current Reports on Form 8-K filed on </w:t>
      </w:r>
      <w:hyperlink r:id="rId29">
        <w:r>
          <w:rPr>
            <w:rFonts w:ascii="Times New Roman" w:cs="Times New Roman" w:eastAsia="Times New Roman" w:hAnsi="Times New Roman"/>
            <w:sz w:val="14"/>
            <w:szCs w:val="14"/>
            <w:u w:val="single" w:color="auto"/>
            <w:color w:val="0000EE"/>
          </w:rPr>
          <w:t>February 19, 2026</w:t>
        </w:r>
      </w:hyperlink>
      <w:r>
        <w:rPr>
          <w:rFonts w:ascii="Times New Roman" w:cs="Times New Roman" w:eastAsia="Times New Roman" w:hAnsi="Times New Roman"/>
          <w:sz w:val="14"/>
          <w:szCs w:val="14"/>
          <w:color w:val="auto"/>
        </w:rPr>
        <w:t xml:space="preserve">, </w:t>
      </w:r>
      <w:hyperlink r:id="rId30">
        <w:r>
          <w:rPr>
            <w:rFonts w:ascii="Times New Roman" w:cs="Times New Roman" w:eastAsia="Times New Roman" w:hAnsi="Times New Roman"/>
            <w:sz w:val="14"/>
            <w:szCs w:val="14"/>
            <w:u w:val="single" w:color="auto"/>
            <w:color w:val="0000EE"/>
          </w:rPr>
          <w:t>March 12, 2026</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and </w:t>
      </w:r>
      <w:hyperlink r:id="rId31">
        <w:r>
          <w:rPr>
            <w:rFonts w:ascii="Times New Roman" w:cs="Times New Roman" w:eastAsia="Times New Roman" w:hAnsi="Times New Roman"/>
            <w:sz w:val="14"/>
            <w:szCs w:val="14"/>
            <w:u w:val="single" w:color="auto"/>
            <w:color w:val="0000EE"/>
          </w:rPr>
          <w:t>June 1, 2026</w:t>
        </w:r>
      </w:hyperlink>
      <w:r>
        <w:rPr>
          <w:rFonts w:ascii="Times New Roman" w:cs="Times New Roman" w:eastAsia="Times New Roman" w:hAnsi="Times New Roman"/>
          <w:sz w:val="14"/>
          <w:szCs w:val="14"/>
          <w:color w:val="auto"/>
        </w:rPr>
        <w:t>.</w:t>
      </w:r>
    </w:p>
    <w:p>
      <w:pPr>
        <w:spacing w:after="0" w:line="168" w:lineRule="exact"/>
        <w:rPr>
          <w:rFonts w:ascii="Times New Roman" w:cs="Times New Roman" w:eastAsia="Times New Roman" w:hAnsi="Times New Roman"/>
          <w:sz w:val="14"/>
          <w:szCs w:val="14"/>
          <w:color w:val="auto"/>
        </w:rPr>
      </w:pPr>
    </w:p>
    <w:p>
      <w:pPr>
        <w:ind w:left="500"/>
        <w:spacing w:after="0"/>
        <w:rPr>
          <w:sz w:val="20"/>
          <w:szCs w:val="20"/>
          <w:color w:val="auto"/>
        </w:rPr>
      </w:pPr>
      <w:r>
        <w:rPr>
          <w:rFonts w:ascii="Times New Roman" w:cs="Times New Roman" w:eastAsia="Times New Roman" w:hAnsi="Times New Roman"/>
          <w:sz w:val="14"/>
          <w:szCs w:val="14"/>
          <w:color w:val="auto"/>
        </w:rPr>
        <w:t>Holders of the Old Notes may request a copy of these filings, at no cost, by contacting us at the following address or telephone number:</w:t>
      </w:r>
    </w:p>
    <w:p>
      <w:pPr>
        <w:spacing w:after="0" w:line="169" w:lineRule="exact"/>
        <w:rPr>
          <w:rFonts w:ascii="Times New Roman" w:cs="Times New Roman" w:eastAsia="Times New Roman" w:hAnsi="Times New Roman"/>
          <w:sz w:val="14"/>
          <w:szCs w:val="1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Hanover Bancorp, Inc.</w:t>
      </w:r>
    </w:p>
    <w:p>
      <w:pPr>
        <w:spacing w:after="0" w:line="17" w:lineRule="exact"/>
        <w:rPr>
          <w:rFonts w:ascii="Times New Roman" w:cs="Times New Roman" w:eastAsia="Times New Roman" w:hAnsi="Times New Roman"/>
          <w:sz w:val="14"/>
          <w:szCs w:val="1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Attention: Investor Relations</w:t>
      </w:r>
    </w:p>
    <w:p>
      <w:pPr>
        <w:spacing w:after="0" w:line="4" w:lineRule="exact"/>
        <w:rPr>
          <w:rFonts w:ascii="Times New Roman" w:cs="Times New Roman" w:eastAsia="Times New Roman" w:hAnsi="Times New Roman"/>
          <w:sz w:val="14"/>
          <w:szCs w:val="1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80 East Jericho Turnpike</w:t>
      </w:r>
    </w:p>
    <w:p>
      <w:pPr>
        <w:spacing w:after="0" w:line="4" w:lineRule="exact"/>
        <w:rPr>
          <w:rFonts w:ascii="Times New Roman" w:cs="Times New Roman" w:eastAsia="Times New Roman" w:hAnsi="Times New Roman"/>
          <w:sz w:val="14"/>
          <w:szCs w:val="1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Mineola, New York 11501</w:t>
      </w:r>
    </w:p>
    <w:p>
      <w:pPr>
        <w:spacing w:after="0" w:line="4" w:lineRule="exact"/>
        <w:rPr>
          <w:rFonts w:ascii="Times New Roman" w:cs="Times New Roman" w:eastAsia="Times New Roman" w:hAnsi="Times New Roman"/>
          <w:sz w:val="14"/>
          <w:szCs w:val="1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Telephone: (516) 548-8500</w:t>
      </w:r>
    </w:p>
    <w:p>
      <w:pPr>
        <w:spacing w:after="0" w:line="162" w:lineRule="exact"/>
        <w:rPr>
          <w:rFonts w:ascii="Times New Roman" w:cs="Times New Roman" w:eastAsia="Times New Roman" w:hAnsi="Times New Roman"/>
          <w:sz w:val="14"/>
          <w:szCs w:val="14"/>
          <w:color w:val="auto"/>
        </w:rPr>
      </w:pPr>
    </w:p>
    <w:p>
      <w:pPr>
        <w:ind w:firstLine="495"/>
        <w:spacing w:after="0" w:line="276" w:lineRule="auto"/>
        <w:rPr>
          <w:sz w:val="20"/>
          <w:szCs w:val="20"/>
          <w:color w:val="auto"/>
        </w:rPr>
      </w:pPr>
      <w:r>
        <w:rPr>
          <w:rFonts w:ascii="Times New Roman" w:cs="Times New Roman" w:eastAsia="Times New Roman" w:hAnsi="Times New Roman"/>
          <w:sz w:val="14"/>
          <w:szCs w:val="14"/>
          <w:b w:val="1"/>
          <w:bCs w:val="1"/>
          <w:color w:val="auto"/>
        </w:rPr>
        <w:t>To ensure timely delivery of any requested information, holders of the Old Notes must make any request no later than [</w:t>
      </w:r>
      <w:r>
        <w:rPr>
          <w:rFonts w:ascii="Arial" w:cs="Arial" w:eastAsia="Arial" w:hAnsi="Arial"/>
          <w:sz w:val="14"/>
          <w:szCs w:val="14"/>
          <w:b w:val="1"/>
          <w:bCs w:val="1"/>
          <w:color w:val="auto"/>
        </w:rPr>
        <w:t>·</w:t>
      </w:r>
      <w:r>
        <w:rPr>
          <w:rFonts w:ascii="Times New Roman" w:cs="Times New Roman" w:eastAsia="Times New Roman" w:hAnsi="Times New Roman"/>
          <w:sz w:val="14"/>
          <w:szCs w:val="14"/>
          <w:b w:val="1"/>
          <w:bCs w:val="1"/>
          <w:color w:val="auto"/>
        </w:rPr>
        <w:t>], 2026, which is five (5) business days before the expiration date of the exchange offer, or, if we decide to extend the expiration date of the exchange offer, no later than five (5) business days before such extended expiration date.</w:t>
      </w:r>
    </w:p>
    <w:p>
      <w:pPr>
        <w:spacing w:after="0" w:line="20"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column">
              <wp:posOffset>4730115</wp:posOffset>
            </wp:positionH>
            <wp:positionV relativeFrom="paragraph">
              <wp:posOffset>-201930</wp:posOffset>
            </wp:positionV>
            <wp:extent cx="60325" cy="603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60325" cy="60325"/>
                    </a:xfrm>
                    <a:prstGeom prst="rect">
                      <a:avLst/>
                    </a:prstGeom>
                    <a:noFill/>
                  </pic:spPr>
                </pic:pic>
              </a:graphicData>
            </a:graphic>
          </wp:anchor>
        </w:drawing>
      </w:r>
    </w:p>
    <w:p>
      <w:pPr>
        <w:spacing w:after="0" w:line="272" w:lineRule="exact"/>
        <w:rPr>
          <w:rFonts w:ascii="Times New Roman" w:cs="Times New Roman" w:eastAsia="Times New Roman" w:hAnsi="Times New Roman"/>
          <w:sz w:val="14"/>
          <w:szCs w:val="1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column">
              <wp:posOffset>1270</wp:posOffset>
            </wp:positionH>
            <wp:positionV relativeFrom="paragraph">
              <wp:posOffset>10795</wp:posOffset>
            </wp:positionV>
            <wp:extent cx="7164705" cy="63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720" w:right="31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CAUTIONARY NOTE REGARDING FORWARD-LOOKING STATEMENTS</w:t>
      </w:r>
    </w:p>
    <w:p>
      <w:pPr>
        <w:spacing w:after="0" w:line="173" w:lineRule="exact"/>
        <w:rPr>
          <w:sz w:val="20"/>
          <w:szCs w:val="20"/>
          <w:color w:val="auto"/>
        </w:rPr>
      </w:pPr>
    </w:p>
    <w:p>
      <w:pPr>
        <w:ind w:right="20" w:firstLine="495"/>
        <w:spacing w:after="0" w:line="249" w:lineRule="auto"/>
        <w:rPr>
          <w:sz w:val="20"/>
          <w:szCs w:val="20"/>
          <w:color w:val="auto"/>
        </w:rPr>
      </w:pPr>
      <w:r>
        <w:rPr>
          <w:rFonts w:ascii="Times New Roman" w:cs="Times New Roman" w:eastAsia="Times New Roman" w:hAnsi="Times New Roman"/>
          <w:sz w:val="14"/>
          <w:szCs w:val="14"/>
          <w:color w:val="auto"/>
        </w:rPr>
        <w:t>This prospectus, including the documents that we incorporate by reference herein, contains forward-looking statements within the meaning of The Private Securities Litigation Reform Act of 1995. These forward-looking statements represent plans, estimates, objectives, goals, guidelines, expectations, intentions, projections and statements of our beliefs concerning future events, business plans, expected operating results and the assumptions upon which those statements are based. In some cases, you can identify these forward-looking statements by words like “may,” “will,” “should,” “expect,” “plan,” “anticipate,” “intend,” “believe,” “estimate,” “predict,” “potential,” or “continue” or the negative of those words and other comparable terminology, although not all forward-looking statements contain these words. Forward-looking statements are not a guarantee of future performance or results, and will not necessarily be accurate indications of the times at, or by, which such performance or results will be achieved. We caution that the forward-looking statements are based largely on our expectations and information available at the time the statements are made and are subject to a number of known and unknown risks and uncertainties that are subject to change based on factors which are in many instances, beyond our control. Actual results, performance or achievements could differ materially from those contemplated, expressed, or implied by the forward-looking statements. You should bear this in mind when reading this prospectus and not place undue reliance on these forward-looking statements.</w:t>
      </w:r>
    </w:p>
    <w:p>
      <w:pPr>
        <w:spacing w:after="0" w:line="145" w:lineRule="exact"/>
        <w:rPr>
          <w:sz w:val="20"/>
          <w:szCs w:val="20"/>
          <w:color w:val="auto"/>
        </w:rPr>
      </w:pPr>
    </w:p>
    <w:p>
      <w:pPr>
        <w:ind w:right="120" w:firstLine="495"/>
        <w:spacing w:after="0" w:line="250"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 number of factors could cause actual conditions, events, or results to differ significantly from those described in the forward-looking statements. These factors include, but are not limited to, those contained in our </w:t>
      </w:r>
      <w:hyperlink r:id="rId22">
        <w:r>
          <w:rPr>
            <w:rFonts w:ascii="Times New Roman" w:cs="Times New Roman" w:eastAsia="Times New Roman" w:hAnsi="Times New Roman"/>
            <w:sz w:val="14"/>
            <w:szCs w:val="14"/>
            <w:u w:val="single" w:color="auto"/>
            <w:color w:val="0000EE"/>
          </w:rPr>
          <w:t>Annual Report on Form 10-K for the year ended December 31, 2025</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and in our </w:t>
      </w:r>
      <w:hyperlink r:id="rId28">
        <w:r>
          <w:rPr>
            <w:rFonts w:ascii="Times New Roman" w:cs="Times New Roman" w:eastAsia="Times New Roman" w:hAnsi="Times New Roman"/>
            <w:sz w:val="14"/>
            <w:szCs w:val="14"/>
            <w:u w:val="single" w:color="auto"/>
            <w:color w:val="0000EE"/>
          </w:rPr>
          <w:t>Quarterly Report on Form 10-Q for the quarter ended March 31, 2026</w:t>
        </w:r>
      </w:hyperlink>
      <w:r>
        <w:rPr>
          <w:rFonts w:ascii="Times New Roman" w:cs="Times New Roman" w:eastAsia="Times New Roman" w:hAnsi="Times New Roman"/>
          <w:sz w:val="14"/>
          <w:szCs w:val="14"/>
          <w:color w:val="auto"/>
        </w:rPr>
        <w:t xml:space="preserve">, which are incorporated by reference in this prospectus, including those discussed under the sections entitled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i w:val="1"/>
          <w:iCs w:val="1"/>
          <w:color w:val="auto"/>
        </w:rPr>
        <w:t>“Management’s Discussion and Analysis of Financial Condition and Results of Operations,”</w:t>
      </w:r>
      <w:r>
        <w:rPr>
          <w:rFonts w:ascii="Times New Roman" w:cs="Times New Roman" w:eastAsia="Times New Roman" w:hAnsi="Times New Roman"/>
          <w:sz w:val="14"/>
          <w:szCs w:val="14"/>
          <w:color w:val="auto"/>
        </w:rPr>
        <w:t xml:space="preserve"> as well as those discussed in any subsequent filings of the Company that are incorporated in this prospectus by reference. See the sections entitled </w:t>
      </w:r>
      <w:r>
        <w:rPr>
          <w:rFonts w:ascii="Times New Roman" w:cs="Times New Roman" w:eastAsia="Times New Roman" w:hAnsi="Times New Roman"/>
          <w:sz w:val="14"/>
          <w:szCs w:val="14"/>
          <w:i w:val="1"/>
          <w:iCs w:val="1"/>
          <w:color w:val="auto"/>
        </w:rPr>
        <w:t>“Where You Can Find More Information”</w:t>
      </w:r>
      <w:r>
        <w:rPr>
          <w:rFonts w:ascii="Times New Roman" w:cs="Times New Roman" w:eastAsia="Times New Roman" w:hAnsi="Times New Roman"/>
          <w:sz w:val="14"/>
          <w:szCs w:val="14"/>
          <w:color w:val="auto"/>
        </w:rPr>
        <w:t xml:space="preserve"> beginning on page 2 and </w:t>
      </w:r>
      <w:r>
        <w:rPr>
          <w:rFonts w:ascii="Times New Roman" w:cs="Times New Roman" w:eastAsia="Times New Roman" w:hAnsi="Times New Roman"/>
          <w:sz w:val="14"/>
          <w:szCs w:val="14"/>
          <w:i w:val="1"/>
          <w:iCs w:val="1"/>
          <w:color w:val="auto"/>
        </w:rPr>
        <w:t>“Incorporation of Certain Documents by Reference”</w:t>
      </w:r>
      <w:r>
        <w:rPr>
          <w:rFonts w:ascii="Times New Roman" w:cs="Times New Roman" w:eastAsia="Times New Roman" w:hAnsi="Times New Roman"/>
          <w:sz w:val="14"/>
          <w:szCs w:val="14"/>
          <w:color w:val="auto"/>
        </w:rPr>
        <w:t xml:space="preserve"> beginning on page 3 for information about how to obtain copies of our filings with the SEC. For a discussion of significant risk factors that apply to the exchange offer and the notes, see the section entitled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xml:space="preserve"> beginning on page 13 of this prospectus.</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Potential risks and uncertainties that could cause our actual results to differ from those anticipated in any forward-looking statements include, but are not limited to, those described below:</w:t>
      </w:r>
    </w:p>
    <w:p>
      <w:pPr>
        <w:spacing w:after="0" w:line="169" w:lineRule="exact"/>
        <w:rPr>
          <w:sz w:val="20"/>
          <w:szCs w:val="20"/>
          <w:color w:val="auto"/>
        </w:rPr>
      </w:pPr>
    </w:p>
    <w:p>
      <w:pPr>
        <w:ind w:left="1000" w:hanging="503"/>
        <w:spacing w:after="0" w:line="254" w:lineRule="auto"/>
        <w:tabs>
          <w:tab w:leader="none" w:pos="1000" w:val="left"/>
        </w:tabs>
        <w:numPr>
          <w:ilvl w:val="0"/>
          <w:numId w:val="2"/>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the strength of the U.S. economy and general economic conditions, (including the interest rate environment, government economic and monetary policies, the strength of global financial markets and inflation/deflation and supply chain issues), whether national or regional, and conditions in the lending markets in which we participate that may have an adverse effect on the demand for our loans and other products, our credit quality and related levels of nonperforming assets and loan losses, and the value and salability of the real estate that we own or that is the collateral for our loans;</w:t>
      </w:r>
    </w:p>
    <w:p>
      <w:pPr>
        <w:spacing w:after="0" w:line="142" w:lineRule="exact"/>
        <w:rPr>
          <w:rFonts w:ascii="Arial" w:cs="Arial" w:eastAsia="Arial" w:hAnsi="Arial"/>
          <w:sz w:val="14"/>
          <w:szCs w:val="14"/>
          <w:b w:val="1"/>
          <w:bCs w:val="1"/>
          <w:color w:val="auto"/>
        </w:rPr>
      </w:pPr>
    </w:p>
    <w:p>
      <w:pPr>
        <w:ind w:left="1000" w:right="80" w:hanging="503"/>
        <w:spacing w:after="0" w:line="270" w:lineRule="auto"/>
        <w:tabs>
          <w:tab w:leader="none" w:pos="1000" w:val="left"/>
        </w:tabs>
        <w:numPr>
          <w:ilvl w:val="0"/>
          <w:numId w:val="2"/>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the ability to effectively manage the information technology systems, including third-party vendors, cyber or data privacy incidents or other failures, disruptions or security breaches, and risk related to the development and use of artificial intelligence;</w:t>
      </w:r>
    </w:p>
    <w:p>
      <w:pPr>
        <w:spacing w:after="0" w:line="131" w:lineRule="exact"/>
        <w:rPr>
          <w:rFonts w:ascii="Arial" w:cs="Arial" w:eastAsia="Arial" w:hAnsi="Arial"/>
          <w:sz w:val="14"/>
          <w:szCs w:val="14"/>
          <w:b w:val="1"/>
          <w:bCs w:val="1"/>
          <w:color w:val="auto"/>
        </w:rPr>
      </w:pPr>
    </w:p>
    <w:p>
      <w:pPr>
        <w:ind w:left="1000" w:hanging="503"/>
        <w:spacing w:after="0"/>
        <w:tabs>
          <w:tab w:leader="none" w:pos="1000" w:val="left"/>
        </w:tabs>
        <w:numPr>
          <w:ilvl w:val="0"/>
          <w:numId w:val="2"/>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the ability to develop and use technologies to provide products and services that will satisfy customer demands;</w:t>
      </w:r>
    </w:p>
    <w:p>
      <w:pPr>
        <w:spacing w:after="0" w:line="168" w:lineRule="exact"/>
        <w:rPr>
          <w:rFonts w:ascii="Arial" w:cs="Arial" w:eastAsia="Arial" w:hAnsi="Arial"/>
          <w:sz w:val="14"/>
          <w:szCs w:val="14"/>
          <w:b w:val="1"/>
          <w:bCs w:val="1"/>
          <w:color w:val="auto"/>
        </w:rPr>
      </w:pPr>
    </w:p>
    <w:p>
      <w:pPr>
        <w:ind w:left="1000" w:right="240" w:hanging="503"/>
        <w:spacing w:after="0" w:line="270" w:lineRule="auto"/>
        <w:tabs>
          <w:tab w:leader="none" w:pos="1000" w:val="left"/>
        </w:tabs>
        <w:numPr>
          <w:ilvl w:val="0"/>
          <w:numId w:val="2"/>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results of examinations of us by our regulators, including the possibility that our regulators may, among other things, require us to increase our reserve for loan losses or to write-down assets;</w:t>
      </w:r>
    </w:p>
    <w:p>
      <w:pPr>
        <w:spacing w:after="0" w:line="131" w:lineRule="exact"/>
        <w:rPr>
          <w:rFonts w:ascii="Arial" w:cs="Arial" w:eastAsia="Arial" w:hAnsi="Arial"/>
          <w:sz w:val="14"/>
          <w:szCs w:val="14"/>
          <w:b w:val="1"/>
          <w:bCs w:val="1"/>
          <w:color w:val="auto"/>
        </w:rPr>
      </w:pPr>
    </w:p>
    <w:p>
      <w:pPr>
        <w:ind w:left="1000" w:right="100" w:hanging="503"/>
        <w:spacing w:after="0" w:line="258" w:lineRule="auto"/>
        <w:tabs>
          <w:tab w:leader="none" w:pos="1000" w:val="left"/>
        </w:tabs>
        <w:numPr>
          <w:ilvl w:val="0"/>
          <w:numId w:val="2"/>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changing bank regulatory conditions, policies or programs, whether arising as new legislation or regulatory initiatives, which could lead to restrictions on activities of banks generally, or our subsidiary bank in particular, more restrictive regulatory capital requirements, increased costs, including deposit insurance premiums, regulation or prohibition of certain income producing activities or changes in the secondary market for loans and other products;</w:t>
      </w:r>
    </w:p>
    <w:p>
      <w:pPr>
        <w:spacing w:after="0" w:line="139" w:lineRule="exact"/>
        <w:rPr>
          <w:rFonts w:ascii="Arial" w:cs="Arial" w:eastAsia="Arial" w:hAnsi="Arial"/>
          <w:sz w:val="14"/>
          <w:szCs w:val="14"/>
          <w:b w:val="1"/>
          <w:bCs w:val="1"/>
          <w:color w:val="auto"/>
        </w:rPr>
      </w:pPr>
    </w:p>
    <w:p>
      <w:pPr>
        <w:ind w:left="1000" w:hanging="503"/>
        <w:spacing w:after="0"/>
        <w:tabs>
          <w:tab w:leader="none" w:pos="1000" w:val="left"/>
        </w:tabs>
        <w:numPr>
          <w:ilvl w:val="0"/>
          <w:numId w:val="2"/>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changes in market rates and prices may adversely impact the value of securities, loans, deposits and other financial instruments and the interest rate sensitivity of our balance sheet;</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wp:posOffset>
            </wp:positionV>
            <wp:extent cx="7164705" cy="63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720" w:right="319" w:bottom="1440" w:gutter="0" w:footer="0" w:header="0"/>
        </w:sectPr>
      </w:pPr>
    </w:p>
    <w:bookmarkStart w:id="8" w:name="page9"/>
    <w:bookmarkEnd w:id="8"/>
    <w:p>
      <w:pPr>
        <w:ind w:left="1000" w:hanging="503"/>
        <w:spacing w:after="0"/>
        <w:tabs>
          <w:tab w:leader="none" w:pos="1000" w:val="left"/>
        </w:tabs>
        <w:numPr>
          <w:ilvl w:val="0"/>
          <w:numId w:val="3"/>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our liquidity requirements could be adversely affected by changes in our assets and liabilities;</w:t>
      </w:r>
    </w:p>
    <w:p>
      <w:pPr>
        <w:spacing w:after="0" w:line="168" w:lineRule="exact"/>
        <w:rPr>
          <w:rFonts w:ascii="Arial" w:cs="Arial" w:eastAsia="Arial" w:hAnsi="Arial"/>
          <w:sz w:val="14"/>
          <w:szCs w:val="14"/>
          <w:b w:val="1"/>
          <w:bCs w:val="1"/>
          <w:color w:val="auto"/>
        </w:rPr>
      </w:pPr>
    </w:p>
    <w:p>
      <w:pPr>
        <w:ind w:left="1000" w:hanging="503"/>
        <w:spacing w:after="0"/>
        <w:tabs>
          <w:tab w:leader="none" w:pos="1000" w:val="left"/>
        </w:tabs>
        <w:numPr>
          <w:ilvl w:val="0"/>
          <w:numId w:val="3"/>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our ability to prudently manage our growth and execute our strategy;</w:t>
      </w:r>
    </w:p>
    <w:p>
      <w:pPr>
        <w:spacing w:after="0" w:line="168" w:lineRule="exact"/>
        <w:rPr>
          <w:rFonts w:ascii="Arial" w:cs="Arial" w:eastAsia="Arial" w:hAnsi="Arial"/>
          <w:sz w:val="14"/>
          <w:szCs w:val="14"/>
          <w:b w:val="1"/>
          <w:bCs w:val="1"/>
          <w:color w:val="auto"/>
        </w:rPr>
      </w:pPr>
    </w:p>
    <w:p>
      <w:pPr>
        <w:ind w:left="1000" w:hanging="503"/>
        <w:spacing w:after="0"/>
        <w:tabs>
          <w:tab w:leader="none" w:pos="1000" w:val="left"/>
        </w:tabs>
        <w:numPr>
          <w:ilvl w:val="0"/>
          <w:numId w:val="3"/>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impairment of our goodwill and intangible assets;</w:t>
      </w:r>
    </w:p>
    <w:p>
      <w:pPr>
        <w:spacing w:after="0" w:line="168" w:lineRule="exact"/>
        <w:rPr>
          <w:rFonts w:ascii="Arial" w:cs="Arial" w:eastAsia="Arial" w:hAnsi="Arial"/>
          <w:sz w:val="14"/>
          <w:szCs w:val="14"/>
          <w:b w:val="1"/>
          <w:bCs w:val="1"/>
          <w:color w:val="auto"/>
        </w:rPr>
      </w:pPr>
    </w:p>
    <w:p>
      <w:pPr>
        <w:ind w:left="1000" w:hanging="503"/>
        <w:spacing w:after="0"/>
        <w:tabs>
          <w:tab w:leader="none" w:pos="1000" w:val="left"/>
        </w:tabs>
        <w:numPr>
          <w:ilvl w:val="0"/>
          <w:numId w:val="3"/>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competitive factors among financial services organizations, including product and pricing pressures and our ability to attract, develop and retain qualified banking professionals;</w:t>
      </w:r>
    </w:p>
    <w:p>
      <w:pPr>
        <w:spacing w:after="0" w:line="168" w:lineRule="exact"/>
        <w:rPr>
          <w:rFonts w:ascii="Arial" w:cs="Arial" w:eastAsia="Arial" w:hAnsi="Arial"/>
          <w:sz w:val="14"/>
          <w:szCs w:val="14"/>
          <w:b w:val="1"/>
          <w:bCs w:val="1"/>
          <w:color w:val="auto"/>
        </w:rPr>
      </w:pPr>
    </w:p>
    <w:p>
      <w:pPr>
        <w:ind w:left="1000" w:right="240" w:hanging="503"/>
        <w:spacing w:after="0" w:line="270" w:lineRule="auto"/>
        <w:tabs>
          <w:tab w:leader="none" w:pos="1000" w:val="left"/>
        </w:tabs>
        <w:numPr>
          <w:ilvl w:val="0"/>
          <w:numId w:val="3"/>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the effect of acquisitions we have made or may make, including, without limitation, the failure to achieve the expected revenue growth and/or expense savings from such acquisitions, and/or the failure to effectively integrate an acquisition target into our operations;</w:t>
      </w:r>
    </w:p>
    <w:p>
      <w:pPr>
        <w:spacing w:after="0" w:line="131" w:lineRule="exact"/>
        <w:rPr>
          <w:rFonts w:ascii="Arial" w:cs="Arial" w:eastAsia="Arial" w:hAnsi="Arial"/>
          <w:sz w:val="14"/>
          <w:szCs w:val="14"/>
          <w:b w:val="1"/>
          <w:bCs w:val="1"/>
          <w:color w:val="auto"/>
        </w:rPr>
      </w:pPr>
    </w:p>
    <w:p>
      <w:pPr>
        <w:ind w:left="1000" w:hanging="503"/>
        <w:spacing w:after="0"/>
        <w:tabs>
          <w:tab w:leader="none" w:pos="1000" w:val="left"/>
        </w:tabs>
        <w:numPr>
          <w:ilvl w:val="0"/>
          <w:numId w:val="3"/>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the growth and profitability of noninterest or fee income being less than expected;</w:t>
      </w:r>
    </w:p>
    <w:p>
      <w:pPr>
        <w:spacing w:after="0" w:line="168" w:lineRule="exact"/>
        <w:rPr>
          <w:rFonts w:ascii="Arial" w:cs="Arial" w:eastAsia="Arial" w:hAnsi="Arial"/>
          <w:sz w:val="14"/>
          <w:szCs w:val="14"/>
          <w:b w:val="1"/>
          <w:bCs w:val="1"/>
          <w:color w:val="auto"/>
        </w:rPr>
      </w:pPr>
    </w:p>
    <w:p>
      <w:pPr>
        <w:ind w:left="1000" w:hanging="503"/>
        <w:spacing w:after="0"/>
        <w:tabs>
          <w:tab w:leader="none" w:pos="1000" w:val="left"/>
        </w:tabs>
        <w:numPr>
          <w:ilvl w:val="0"/>
          <w:numId w:val="3"/>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the effect of legislative or regulatory developments, including changes in laws concerning taxes, banking, securities, insurance and other aspects of the financial services industry;</w:t>
      </w:r>
    </w:p>
    <w:p>
      <w:pPr>
        <w:spacing w:after="0" w:line="168" w:lineRule="exact"/>
        <w:rPr>
          <w:rFonts w:ascii="Arial" w:cs="Arial" w:eastAsia="Arial" w:hAnsi="Arial"/>
          <w:sz w:val="14"/>
          <w:szCs w:val="14"/>
          <w:b w:val="1"/>
          <w:bCs w:val="1"/>
          <w:color w:val="auto"/>
        </w:rPr>
      </w:pPr>
    </w:p>
    <w:p>
      <w:pPr>
        <w:ind w:left="1000" w:hanging="503"/>
        <w:spacing w:after="0"/>
        <w:tabs>
          <w:tab w:leader="none" w:pos="1000" w:val="left"/>
        </w:tabs>
        <w:numPr>
          <w:ilvl w:val="0"/>
          <w:numId w:val="3"/>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the effect of any change in federal government enforcement of federal laws affecting the cannabis industry;</w:t>
      </w:r>
    </w:p>
    <w:p>
      <w:pPr>
        <w:spacing w:after="0" w:line="168" w:lineRule="exact"/>
        <w:rPr>
          <w:rFonts w:ascii="Arial" w:cs="Arial" w:eastAsia="Arial" w:hAnsi="Arial"/>
          <w:sz w:val="14"/>
          <w:szCs w:val="14"/>
          <w:b w:val="1"/>
          <w:bCs w:val="1"/>
          <w:color w:val="auto"/>
        </w:rPr>
      </w:pPr>
    </w:p>
    <w:p>
      <w:pPr>
        <w:ind w:left="1000" w:right="180" w:hanging="503"/>
        <w:spacing w:after="0" w:line="270" w:lineRule="auto"/>
        <w:tabs>
          <w:tab w:leader="none" w:pos="1000" w:val="left"/>
        </w:tabs>
        <w:numPr>
          <w:ilvl w:val="0"/>
          <w:numId w:val="3"/>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the effect of changes in accounting policies and practices, as may be adopted by the Financial Accounting Standards Board, the SEC, the Public Company Accounting Oversight Board and other regulatory agencies;</w:t>
      </w:r>
    </w:p>
    <w:p>
      <w:pPr>
        <w:spacing w:after="0" w:line="131" w:lineRule="exact"/>
        <w:rPr>
          <w:rFonts w:ascii="Arial" w:cs="Arial" w:eastAsia="Arial" w:hAnsi="Arial"/>
          <w:sz w:val="14"/>
          <w:szCs w:val="14"/>
          <w:b w:val="1"/>
          <w:bCs w:val="1"/>
          <w:color w:val="auto"/>
        </w:rPr>
      </w:pPr>
    </w:p>
    <w:p>
      <w:pPr>
        <w:ind w:left="1000" w:hanging="503"/>
        <w:spacing w:after="0"/>
        <w:tabs>
          <w:tab w:leader="none" w:pos="1000" w:val="left"/>
        </w:tabs>
        <w:numPr>
          <w:ilvl w:val="0"/>
          <w:numId w:val="3"/>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changes in U.S. trade policies, including the implementation of tariffs and other protectionist trade policies;</w:t>
      </w:r>
    </w:p>
    <w:p>
      <w:pPr>
        <w:spacing w:after="0" w:line="168" w:lineRule="exact"/>
        <w:rPr>
          <w:rFonts w:ascii="Arial" w:cs="Arial" w:eastAsia="Arial" w:hAnsi="Arial"/>
          <w:sz w:val="14"/>
          <w:szCs w:val="14"/>
          <w:b w:val="1"/>
          <w:bCs w:val="1"/>
          <w:color w:val="auto"/>
        </w:rPr>
      </w:pPr>
    </w:p>
    <w:p>
      <w:pPr>
        <w:ind w:left="1000" w:hanging="503"/>
        <w:spacing w:after="0"/>
        <w:tabs>
          <w:tab w:leader="none" w:pos="1000" w:val="left"/>
        </w:tabs>
        <w:numPr>
          <w:ilvl w:val="0"/>
          <w:numId w:val="3"/>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the impact of governmental efforts to restructure or adjust the U.S. financial regulatory system;</w:t>
      </w:r>
    </w:p>
    <w:p>
      <w:pPr>
        <w:spacing w:after="0" w:line="168" w:lineRule="exact"/>
        <w:rPr>
          <w:rFonts w:ascii="Arial" w:cs="Arial" w:eastAsia="Arial" w:hAnsi="Arial"/>
          <w:sz w:val="14"/>
          <w:szCs w:val="14"/>
          <w:b w:val="1"/>
          <w:bCs w:val="1"/>
          <w:color w:val="auto"/>
        </w:rPr>
      </w:pPr>
    </w:p>
    <w:p>
      <w:pPr>
        <w:ind w:left="1000" w:right="40" w:hanging="503"/>
        <w:spacing w:after="0" w:line="270" w:lineRule="auto"/>
        <w:tabs>
          <w:tab w:leader="none" w:pos="1000" w:val="left"/>
        </w:tabs>
        <w:numPr>
          <w:ilvl w:val="0"/>
          <w:numId w:val="3"/>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the impact of recent or future changes in Federal Deposit Insurance Corporation (the “FDIC”) insurance assessment rate or the rules and regulations related to the calculation of the FDIC insurance assessment amount, including any special assessments;</w:t>
      </w:r>
    </w:p>
    <w:p>
      <w:pPr>
        <w:spacing w:after="0" w:line="131" w:lineRule="exact"/>
        <w:rPr>
          <w:rFonts w:ascii="Arial" w:cs="Arial" w:eastAsia="Arial" w:hAnsi="Arial"/>
          <w:sz w:val="14"/>
          <w:szCs w:val="14"/>
          <w:b w:val="1"/>
          <w:bCs w:val="1"/>
          <w:color w:val="auto"/>
        </w:rPr>
      </w:pPr>
    </w:p>
    <w:p>
      <w:pPr>
        <w:ind w:left="1000" w:hanging="503"/>
        <w:spacing w:after="0"/>
        <w:tabs>
          <w:tab w:leader="none" w:pos="1000" w:val="left"/>
        </w:tabs>
        <w:numPr>
          <w:ilvl w:val="0"/>
          <w:numId w:val="3"/>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the effects of federal government shutdowns, debt ceiling standoff, or other uncertainty regarding fiscal and governmental policies of the U.S. federal government;</w:t>
      </w:r>
    </w:p>
    <w:p>
      <w:pPr>
        <w:spacing w:after="0" w:line="168" w:lineRule="exact"/>
        <w:rPr>
          <w:rFonts w:ascii="Arial" w:cs="Arial" w:eastAsia="Arial" w:hAnsi="Arial"/>
          <w:sz w:val="14"/>
          <w:szCs w:val="14"/>
          <w:b w:val="1"/>
          <w:bCs w:val="1"/>
          <w:color w:val="auto"/>
        </w:rPr>
      </w:pPr>
    </w:p>
    <w:p>
      <w:pPr>
        <w:ind w:left="1000" w:hanging="503"/>
        <w:spacing w:after="0"/>
        <w:tabs>
          <w:tab w:leader="none" w:pos="1000" w:val="left"/>
        </w:tabs>
        <w:numPr>
          <w:ilvl w:val="0"/>
          <w:numId w:val="3"/>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climate change and other catastrophic events or disasters;</w:t>
      </w:r>
    </w:p>
    <w:p>
      <w:pPr>
        <w:spacing w:after="0" w:line="168" w:lineRule="exact"/>
        <w:rPr>
          <w:rFonts w:ascii="Arial" w:cs="Arial" w:eastAsia="Arial" w:hAnsi="Arial"/>
          <w:sz w:val="14"/>
          <w:szCs w:val="14"/>
          <w:b w:val="1"/>
          <w:bCs w:val="1"/>
          <w:color w:val="auto"/>
        </w:rPr>
      </w:pPr>
    </w:p>
    <w:p>
      <w:pPr>
        <w:ind w:left="1000" w:right="260" w:hanging="503"/>
        <w:spacing w:after="0" w:line="270" w:lineRule="auto"/>
        <w:tabs>
          <w:tab w:leader="none" w:pos="1000" w:val="left"/>
        </w:tabs>
        <w:numPr>
          <w:ilvl w:val="0"/>
          <w:numId w:val="3"/>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geopolitical conditions, including acts or threats of terrorism, actions taken by the United States or other governments in response to acts of terrorism, and/or military conflicts, which could impact business and economic conditions in the United States and abroad; and</w:t>
      </w:r>
    </w:p>
    <w:p>
      <w:pPr>
        <w:spacing w:after="0" w:line="131" w:lineRule="exact"/>
        <w:rPr>
          <w:rFonts w:ascii="Arial" w:cs="Arial" w:eastAsia="Arial" w:hAnsi="Arial"/>
          <w:sz w:val="14"/>
          <w:szCs w:val="14"/>
          <w:b w:val="1"/>
          <w:bCs w:val="1"/>
          <w:color w:val="auto"/>
        </w:rPr>
      </w:pPr>
    </w:p>
    <w:p>
      <w:pPr>
        <w:ind w:left="1000" w:hanging="503"/>
        <w:spacing w:after="0"/>
        <w:tabs>
          <w:tab w:leader="none" w:pos="1000" w:val="left"/>
        </w:tabs>
        <w:numPr>
          <w:ilvl w:val="0"/>
          <w:numId w:val="3"/>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other factors that may affect our future results.</w:t>
      </w:r>
    </w:p>
    <w:p>
      <w:pPr>
        <w:spacing w:after="0" w:line="168" w:lineRule="exact"/>
        <w:rPr>
          <w:sz w:val="20"/>
          <w:szCs w:val="20"/>
          <w:color w:val="auto"/>
        </w:rPr>
      </w:pPr>
    </w:p>
    <w:p>
      <w:pPr>
        <w:ind w:firstLine="495"/>
        <w:spacing w:after="0" w:line="254" w:lineRule="auto"/>
        <w:rPr>
          <w:sz w:val="20"/>
          <w:szCs w:val="20"/>
          <w:color w:val="auto"/>
        </w:rPr>
      </w:pPr>
      <w:r>
        <w:rPr>
          <w:rFonts w:ascii="Times New Roman" w:cs="Times New Roman" w:eastAsia="Times New Roman" w:hAnsi="Times New Roman"/>
          <w:sz w:val="14"/>
          <w:szCs w:val="14"/>
          <w:color w:val="auto"/>
        </w:rPr>
        <w:t>If any of these risks or uncertainties materialize, or if any of the assumptions underlying such forward-looking statements prove to be incorrect, our results could differ materially from those expressed in, implied or projected by, such forward-looking statements. You should not place undue reliance on any forward-looking statements, which speak only as of the dates they are made. Except to the extent required by applicable law or regulation, we undertake no obligation to update these forward-looking statements to reflect events or circumstances after the date of this prospectus or to reflect the occurrence of unanticipated events.</w:t>
      </w:r>
    </w:p>
    <w:p>
      <w:pPr>
        <w:spacing w:after="0" w:line="3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wp:posOffset>
            </wp:positionV>
            <wp:extent cx="7164705" cy="63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60"/>
          </w:cols>
          <w:pgMar w:left="300" w:top="724"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189230</wp:posOffset>
            </wp:positionH>
            <wp:positionV relativeFrom="page">
              <wp:posOffset>360680</wp:posOffset>
            </wp:positionV>
            <wp:extent cx="7171055" cy="2957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7171055" cy="2957195"/>
                    </a:xfrm>
                    <a:prstGeom prst="rect">
                      <a:avLst/>
                    </a:prstGeom>
                    <a:noFill/>
                  </pic:spPr>
                </pic:pic>
              </a:graphicData>
            </a:graphic>
          </wp:anchor>
        </w:drawing>
        <w:t>SUMMARY</w:t>
      </w:r>
    </w:p>
    <w:p>
      <w:pPr>
        <w:spacing w:after="0" w:line="169" w:lineRule="exact"/>
        <w:rPr>
          <w:sz w:val="20"/>
          <w:szCs w:val="20"/>
          <w:color w:val="auto"/>
        </w:rPr>
      </w:pPr>
    </w:p>
    <w:p>
      <w:pPr>
        <w:jc w:val="both"/>
        <w:ind w:right="60" w:firstLine="495"/>
        <w:spacing w:after="0" w:line="256" w:lineRule="auto"/>
        <w:rPr>
          <w:sz w:val="20"/>
          <w:szCs w:val="20"/>
          <w:color w:val="auto"/>
        </w:rPr>
      </w:pPr>
      <w:r>
        <w:rPr>
          <w:rFonts w:ascii="Times New Roman" w:cs="Times New Roman" w:eastAsia="Times New Roman" w:hAnsi="Times New Roman"/>
          <w:sz w:val="14"/>
          <w:szCs w:val="14"/>
          <w:i w:val="1"/>
          <w:iCs w:val="1"/>
          <w:color w:val="auto"/>
        </w:rPr>
        <w:t>This summary highlights selected information appearing elsewhere, or incorporated by reference, in this prospectus and is, therefore, qualified in its entirety by the more detailed information appearing elsewhere, or incorporated by reference, in this prospectus. It may not contain all of the information that may be important to you in deciding to exchange your Old Notes for New Notes. We urge you to read carefully this entire prospectus and the other documents to which it refers to understand fully the terms of the New Notes and the exchange offer. You should pay special attention to the section entitled “Risk Factors” and the “Cautionary Note Regarding Forward-Looking Statements” beginning on pages 13 and 4, respectively.</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Hanover Bancorp, Inc.</w:t>
      </w:r>
    </w:p>
    <w:p>
      <w:pPr>
        <w:spacing w:after="0" w:line="173" w:lineRule="exact"/>
        <w:rPr>
          <w:sz w:val="20"/>
          <w:szCs w:val="20"/>
          <w:color w:val="auto"/>
        </w:rPr>
      </w:pPr>
    </w:p>
    <w:p>
      <w:pPr>
        <w:ind w:right="120" w:firstLine="495"/>
        <w:spacing w:after="0" w:line="254" w:lineRule="auto"/>
        <w:rPr>
          <w:sz w:val="20"/>
          <w:szCs w:val="20"/>
          <w:color w:val="auto"/>
        </w:rPr>
      </w:pPr>
      <w:r>
        <w:rPr>
          <w:rFonts w:ascii="Times New Roman" w:cs="Times New Roman" w:eastAsia="Times New Roman" w:hAnsi="Times New Roman"/>
          <w:sz w:val="14"/>
          <w:szCs w:val="14"/>
          <w:color w:val="auto"/>
        </w:rPr>
        <w:t>Hanover Bancorp is the holding company for Hanover Community Bank, a New York chartered community commercial bank focusing on highly personalized and efficient services and products responsive to local needs. The Bank operates as a locally headquartered, community-oriented bank serving customers throughout the New York metro area from offices in Nassau, Suffolk, Queens, Kings (Brooklyn) and New York (Manhattan) Counties, New York, and Freehold, Monmouth County, New Jersey. We opened the Bank’s Hauppauge Business Banking Center in Hauppauge, Suffolk County, New York in May 2023. In June 2025, we opened a full-service branch in Port Jefferson, Suffolk County, New York.</w:t>
      </w:r>
    </w:p>
    <w:p>
      <w:pPr>
        <w:spacing w:after="0" w:line="143" w:lineRule="exact"/>
        <w:rPr>
          <w:sz w:val="20"/>
          <w:szCs w:val="20"/>
          <w:color w:val="auto"/>
        </w:rPr>
      </w:pPr>
    </w:p>
    <w:p>
      <w:pPr>
        <w:ind w:firstLine="495"/>
        <w:spacing w:after="0" w:line="252" w:lineRule="auto"/>
        <w:rPr>
          <w:rFonts w:ascii="Times New Roman" w:cs="Times New Roman" w:eastAsia="Times New Roman" w:hAnsi="Times New Roman"/>
          <w:sz w:val="14"/>
          <w:szCs w:val="14"/>
          <w:color w:val="0000EE"/>
        </w:rPr>
      </w:pPr>
      <w:hyperlink r:id="rId22">
        <w:r>
          <w:rPr>
            <w:rFonts w:ascii="Times New Roman" w:cs="Times New Roman" w:eastAsia="Times New Roman" w:hAnsi="Times New Roman"/>
            <w:sz w:val="14"/>
            <w:szCs w:val="14"/>
            <w:color w:val="auto"/>
          </w:rPr>
          <w:t xml:space="preserve">Financial information related to our operations in these segments is included in the notes to the Company’s Consolidated Financial Statements included in Item 8 of Part II of our </w:t>
        </w:r>
        <w:r>
          <w:rPr>
            <w:rFonts w:ascii="Times New Roman" w:cs="Times New Roman" w:eastAsia="Times New Roman" w:hAnsi="Times New Roman"/>
            <w:sz w:val="14"/>
            <w:szCs w:val="14"/>
            <w:u w:val="single" w:color="auto"/>
            <w:color w:val="0000EE"/>
          </w:rPr>
          <w:t>Annual Report</w:t>
        </w:r>
      </w:hyperlink>
      <w:r>
        <w:rPr>
          <w:rFonts w:ascii="Times New Roman" w:cs="Times New Roman" w:eastAsia="Times New Roman" w:hAnsi="Times New Roman"/>
          <w:sz w:val="14"/>
          <w:szCs w:val="14"/>
          <w:color w:val="auto"/>
        </w:rPr>
        <w:t xml:space="preserve"> </w:t>
      </w:r>
      <w:hyperlink r:id="rId22">
        <w:r>
          <w:rPr>
            <w:rFonts w:ascii="Times New Roman" w:cs="Times New Roman" w:eastAsia="Times New Roman" w:hAnsi="Times New Roman"/>
            <w:sz w:val="14"/>
            <w:szCs w:val="14"/>
            <w:u w:val="single" w:color="auto"/>
            <w:color w:val="0000EE"/>
          </w:rPr>
          <w:t>on Form 10-K for the year ended December 31, 2025</w:t>
        </w:r>
        <w:r>
          <w:rPr>
            <w:rFonts w:ascii="Times New Roman" w:cs="Times New Roman" w:eastAsia="Times New Roman" w:hAnsi="Times New Roman"/>
            <w:sz w:val="14"/>
            <w:szCs w:val="14"/>
            <w:color w:val="000000"/>
          </w:rPr>
          <w:t>, and any consolidated financial statements of the Company that we subsequently file with the SEC, which are incorporated by reference in this</w:t>
        </w:r>
      </w:hyperlink>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prospectus. A detailed discussion of our business is contained in Item 1 of Part I of our Annual Report on Form 10-K for the year ended December 31, 2025, and any subsequent reports that we file with the SEC, which are incorporated by reference in this prospectus. See the section entitled “</w:t>
      </w:r>
      <w:r>
        <w:rPr>
          <w:rFonts w:ascii="Times New Roman" w:cs="Times New Roman" w:eastAsia="Times New Roman" w:hAnsi="Times New Roman"/>
          <w:sz w:val="14"/>
          <w:szCs w:val="14"/>
          <w:i w:val="1"/>
          <w:iCs w:val="1"/>
          <w:color w:val="000000"/>
        </w:rPr>
        <w:t>Where You Can Find More Information</w:t>
      </w:r>
      <w:r>
        <w:rPr>
          <w:rFonts w:ascii="Times New Roman" w:cs="Times New Roman" w:eastAsia="Times New Roman" w:hAnsi="Times New Roman"/>
          <w:sz w:val="14"/>
          <w:szCs w:val="14"/>
          <w:color w:val="000000"/>
        </w:rPr>
        <w:t>” beginning on page 2 for information on how to obtain a copy of our annual report and any subsequent reports.</w:t>
      </w:r>
    </w:p>
    <w:p>
      <w:pPr>
        <w:spacing w:after="0" w:line="144" w:lineRule="exact"/>
        <w:rPr>
          <w:sz w:val="20"/>
          <w:szCs w:val="20"/>
          <w:color w:val="auto"/>
        </w:rPr>
      </w:pPr>
    </w:p>
    <w:p>
      <w:pPr>
        <w:ind w:right="120" w:firstLine="495"/>
        <w:spacing w:after="0" w:line="254" w:lineRule="auto"/>
        <w:rPr>
          <w:sz w:val="20"/>
          <w:szCs w:val="20"/>
          <w:color w:val="auto"/>
        </w:rPr>
      </w:pPr>
      <w:r>
        <w:rPr>
          <w:rFonts w:ascii="Times New Roman" w:cs="Times New Roman" w:eastAsia="Times New Roman" w:hAnsi="Times New Roman"/>
          <w:sz w:val="14"/>
          <w:szCs w:val="14"/>
          <w:color w:val="auto"/>
        </w:rPr>
        <w:t>Our common stock is traded on the Nasdaq Global Select Market under the symbol “HNVR.” Our principal executive office is located at 80 East Jericho Turnpike, Mineola, New York 11501 and our telephone number is (516) 548-8500. We maintain an Internet site at http://www.hanoverbank.com on which we make available free of charge our Annual Reports on Form 10-K, Quarterly Reports on Form 10-Q, Current Reports on Form 8-K, and all amendments to the foregoing as soon as reasonably practicable after these reports are electronically filed with, or furnished to, the SEC. Neither our website nor the information on our website is included or incorporated in, or is a part of, this prospectus.</w:t>
      </w:r>
    </w:p>
    <w:p>
      <w:pPr>
        <w:spacing w:after="0" w:line="14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As of March 31, 2026, we had total assets of $2.37 billion, total loans of $1.99 billion, total deposits of $2.02 billion and total stockholders’ equity of $201.4 million.</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wp:posOffset>
            </wp:positionH>
            <wp:positionV relativeFrom="paragraph">
              <wp:posOffset>10795</wp:posOffset>
            </wp:positionV>
            <wp:extent cx="7164705" cy="63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080"/>
          </w:cols>
          <w:pgMar w:left="400" w:top="731" w:right="41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189230</wp:posOffset>
            </wp:positionH>
            <wp:positionV relativeFrom="page">
              <wp:posOffset>360680</wp:posOffset>
            </wp:positionV>
            <wp:extent cx="7171055" cy="4232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7171055" cy="4232910"/>
                    </a:xfrm>
                    <a:prstGeom prst="rect">
                      <a:avLst/>
                    </a:prstGeom>
                    <a:noFill/>
                  </pic:spPr>
                </pic:pic>
              </a:graphicData>
            </a:graphic>
          </wp:anchor>
        </w:drawing>
        <w:t>Summary of the Exchange Offer</w:t>
      </w:r>
    </w:p>
    <w:p>
      <w:pPr>
        <w:spacing w:after="0" w:line="169" w:lineRule="exact"/>
        <w:rPr>
          <w:sz w:val="20"/>
          <w:szCs w:val="20"/>
          <w:color w:val="auto"/>
        </w:rPr>
      </w:pPr>
    </w:p>
    <w:p>
      <w:pPr>
        <w:ind w:left="100" w:right="140" w:firstLine="495"/>
        <w:spacing w:after="0" w:line="277" w:lineRule="auto"/>
        <w:rPr>
          <w:sz w:val="20"/>
          <w:szCs w:val="20"/>
          <w:color w:val="auto"/>
        </w:rPr>
      </w:pPr>
      <w:r>
        <w:rPr>
          <w:rFonts w:ascii="Times New Roman" w:cs="Times New Roman" w:eastAsia="Times New Roman" w:hAnsi="Times New Roman"/>
          <w:sz w:val="14"/>
          <w:szCs w:val="14"/>
          <w:color w:val="auto"/>
        </w:rPr>
        <w:t>The following provides a summary of certain terms of the exchange offer. Please refer to the section entitled “</w:t>
      </w:r>
      <w:r>
        <w:rPr>
          <w:rFonts w:ascii="Times New Roman" w:cs="Times New Roman" w:eastAsia="Times New Roman" w:hAnsi="Times New Roman"/>
          <w:sz w:val="14"/>
          <w:szCs w:val="14"/>
          <w:i w:val="1"/>
          <w:iCs w:val="1"/>
          <w:color w:val="auto"/>
        </w:rPr>
        <w:t>The Exchange Offer</w:t>
      </w:r>
      <w:r>
        <w:rPr>
          <w:rFonts w:ascii="Times New Roman" w:cs="Times New Roman" w:eastAsia="Times New Roman" w:hAnsi="Times New Roman"/>
          <w:sz w:val="14"/>
          <w:szCs w:val="14"/>
          <w:color w:val="auto"/>
        </w:rPr>
        <w:t>” beginning on page 21 for a more complete description of the exchange offer and the section entitled “</w:t>
      </w:r>
      <w:r>
        <w:rPr>
          <w:rFonts w:ascii="Times New Roman" w:cs="Times New Roman" w:eastAsia="Times New Roman" w:hAnsi="Times New Roman"/>
          <w:sz w:val="14"/>
          <w:szCs w:val="14"/>
          <w:i w:val="1"/>
          <w:iCs w:val="1"/>
          <w:color w:val="auto"/>
        </w:rPr>
        <w:t>Description of the Notes</w:t>
      </w:r>
      <w:r>
        <w:rPr>
          <w:rFonts w:ascii="Times New Roman" w:cs="Times New Roman" w:eastAsia="Times New Roman" w:hAnsi="Times New Roman"/>
          <w:sz w:val="14"/>
          <w:szCs w:val="14"/>
          <w:color w:val="auto"/>
        </w:rPr>
        <w:t>” beginning on page 31 for a more complete description of the terms of the Old Notes and New Notes.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1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Old Notes</w:t>
            </w:r>
          </w:p>
        </w:tc>
        <w:tc>
          <w:tcPr>
            <w:tcW w:w="820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$35,000,000 in aggregate principal amount of 7.25% Fixed-to-Floating Rate Subordinated Notes due 2036.</w:t>
            </w:r>
          </w:p>
        </w:tc>
      </w:tr>
      <w:tr>
        <w:trPr>
          <w:trHeight w:val="316"/>
        </w:trPr>
        <w:tc>
          <w:tcPr>
            <w:tcW w:w="31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New Notes</w:t>
            </w:r>
          </w:p>
        </w:tc>
        <w:tc>
          <w:tcPr>
            <w:tcW w:w="820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Up to $35,000,000 in aggregate principal amount of 7.25% Fixed-to-Floating Rate Subordinated Notes due 2036, which have</w:t>
            </w:r>
          </w:p>
        </w:tc>
      </w:tr>
      <w:tr>
        <w:trPr>
          <w:trHeight w:val="165"/>
        </w:trPr>
        <w:tc>
          <w:tcPr>
            <w:tcW w:w="3100" w:type="dxa"/>
            <w:vAlign w:val="bottom"/>
          </w:tcPr>
          <w:p>
            <w:pPr>
              <w:spacing w:after="0"/>
              <w:rPr>
                <w:sz w:val="14"/>
                <w:szCs w:val="14"/>
                <w:color w:val="auto"/>
              </w:rPr>
            </w:pPr>
          </w:p>
        </w:tc>
        <w:tc>
          <w:tcPr>
            <w:tcW w:w="820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terms that are identical in all material respects to the terms of the Old Notes, except that: (i) the New Notes are registered under</w:t>
            </w:r>
          </w:p>
        </w:tc>
      </w:tr>
      <w:tr>
        <w:trPr>
          <w:trHeight w:val="165"/>
        </w:trPr>
        <w:tc>
          <w:tcPr>
            <w:tcW w:w="3100" w:type="dxa"/>
            <w:vAlign w:val="bottom"/>
          </w:tcPr>
          <w:p>
            <w:pPr>
              <w:spacing w:after="0"/>
              <w:rPr>
                <w:sz w:val="14"/>
                <w:szCs w:val="14"/>
                <w:color w:val="auto"/>
              </w:rPr>
            </w:pPr>
          </w:p>
        </w:tc>
        <w:tc>
          <w:tcPr>
            <w:tcW w:w="820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the Securities Act and, as a result, will not bear any legend restricting their transfer, (ii) the New Notes bear a different CUSIP</w:t>
            </w:r>
          </w:p>
        </w:tc>
      </w:tr>
      <w:tr>
        <w:trPr>
          <w:trHeight w:val="165"/>
        </w:trPr>
        <w:tc>
          <w:tcPr>
            <w:tcW w:w="3100" w:type="dxa"/>
            <w:vAlign w:val="bottom"/>
          </w:tcPr>
          <w:p>
            <w:pPr>
              <w:spacing w:after="0"/>
              <w:rPr>
                <w:sz w:val="14"/>
                <w:szCs w:val="14"/>
                <w:color w:val="auto"/>
              </w:rPr>
            </w:pPr>
          </w:p>
        </w:tc>
        <w:tc>
          <w:tcPr>
            <w:tcW w:w="820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w w:val="99"/>
              </w:rPr>
              <w:t>number from the Old Notes, and (iii) the New Notes are generally not subject to transfer restrictions, are not entitled to registration</w:t>
            </w:r>
          </w:p>
        </w:tc>
      </w:tr>
      <w:tr>
        <w:trPr>
          <w:trHeight w:val="165"/>
        </w:trPr>
        <w:tc>
          <w:tcPr>
            <w:tcW w:w="3100" w:type="dxa"/>
            <w:vAlign w:val="bottom"/>
          </w:tcPr>
          <w:p>
            <w:pPr>
              <w:spacing w:after="0"/>
              <w:rPr>
                <w:sz w:val="14"/>
                <w:szCs w:val="14"/>
                <w:color w:val="auto"/>
              </w:rPr>
            </w:pPr>
          </w:p>
        </w:tc>
        <w:tc>
          <w:tcPr>
            <w:tcW w:w="820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rights under the registration rights agreements and do not have the right to additional interest under the circumstances described in</w:t>
            </w:r>
          </w:p>
        </w:tc>
      </w:tr>
      <w:tr>
        <w:trPr>
          <w:trHeight w:val="178"/>
        </w:trPr>
        <w:tc>
          <w:tcPr>
            <w:tcW w:w="3100" w:type="dxa"/>
            <w:vAlign w:val="bottom"/>
          </w:tcPr>
          <w:p>
            <w:pPr>
              <w:spacing w:after="0"/>
              <w:rPr>
                <w:sz w:val="15"/>
                <w:szCs w:val="15"/>
                <w:color w:val="auto"/>
              </w:rPr>
            </w:pPr>
          </w:p>
        </w:tc>
        <w:tc>
          <w:tcPr>
            <w:tcW w:w="820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the registration rights agreements relating to our fulfillment of our registration obligations.</w:t>
            </w:r>
          </w:p>
        </w:tc>
      </w:tr>
      <w:tr>
        <w:trPr>
          <w:trHeight w:val="316"/>
        </w:trPr>
        <w:tc>
          <w:tcPr>
            <w:tcW w:w="31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Exchange Offer</w:t>
            </w:r>
          </w:p>
        </w:tc>
        <w:tc>
          <w:tcPr>
            <w:tcW w:w="820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We are offering to exchange the Old Notes for a like principal amount of New Notes. Subject to the terms of this exchange offer,</w:t>
            </w:r>
          </w:p>
        </w:tc>
      </w:tr>
      <w:tr>
        <w:trPr>
          <w:trHeight w:val="165"/>
        </w:trPr>
        <w:tc>
          <w:tcPr>
            <w:tcW w:w="3100" w:type="dxa"/>
            <w:vAlign w:val="bottom"/>
          </w:tcPr>
          <w:p>
            <w:pPr>
              <w:spacing w:after="0"/>
              <w:rPr>
                <w:sz w:val="14"/>
                <w:szCs w:val="14"/>
                <w:color w:val="auto"/>
              </w:rPr>
            </w:pPr>
          </w:p>
        </w:tc>
        <w:tc>
          <w:tcPr>
            <w:tcW w:w="820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promptly following the termination of the exchange offer, we will exchange all Old Notes that have been validly tendered and not</w:t>
            </w:r>
          </w:p>
        </w:tc>
      </w:tr>
      <w:tr>
        <w:trPr>
          <w:trHeight w:val="178"/>
        </w:trPr>
        <w:tc>
          <w:tcPr>
            <w:tcW w:w="3100" w:type="dxa"/>
            <w:vAlign w:val="bottom"/>
          </w:tcPr>
          <w:p>
            <w:pPr>
              <w:spacing w:after="0"/>
              <w:rPr>
                <w:sz w:val="15"/>
                <w:szCs w:val="15"/>
                <w:color w:val="auto"/>
              </w:rPr>
            </w:pPr>
          </w:p>
        </w:tc>
        <w:tc>
          <w:tcPr>
            <w:tcW w:w="820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validly withdrawn prior to the expiration of the exchange offer for New Notes.</w:t>
            </w:r>
          </w:p>
        </w:tc>
      </w:tr>
      <w:tr>
        <w:trPr>
          <w:trHeight w:val="340"/>
        </w:trPr>
        <w:tc>
          <w:tcPr>
            <w:tcW w:w="31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820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The exchange offer will expire at 11:59 p.m., New York City time, on [</w:t>
            </w:r>
            <w:r>
              <w:rPr>
                <w:rFonts w:ascii="Arial" w:cs="Arial" w:eastAsia="Arial" w:hAnsi="Arial"/>
                <w:sz w:val="14"/>
                <w:szCs w:val="14"/>
                <w:b w:val="1"/>
                <w:bCs w:val="1"/>
                <w:color w:val="auto"/>
              </w:rPr>
              <w:t>·</w:t>
            </w:r>
            <w:r>
              <w:rPr>
                <w:rFonts w:ascii="Times New Roman" w:cs="Times New Roman" w:eastAsia="Times New Roman" w:hAnsi="Times New Roman"/>
                <w:sz w:val="14"/>
                <w:szCs w:val="14"/>
                <w:color w:val="auto"/>
              </w:rPr>
              <w:t>], 2026, unless extended.</w:t>
            </w:r>
          </w:p>
        </w:tc>
      </w:tr>
      <w:tr>
        <w:trPr>
          <w:trHeight w:val="316"/>
        </w:trPr>
        <w:tc>
          <w:tcPr>
            <w:tcW w:w="31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Withdrawal Rights</w:t>
            </w:r>
          </w:p>
        </w:tc>
        <w:tc>
          <w:tcPr>
            <w:tcW w:w="820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Except as otherwise provided in this prospectus, you may validly withdraw the tender of your Old Notes at any time before the</w:t>
            </w:r>
          </w:p>
        </w:tc>
      </w:tr>
      <w:tr>
        <w:trPr>
          <w:trHeight w:val="178"/>
        </w:trPr>
        <w:tc>
          <w:tcPr>
            <w:tcW w:w="3100" w:type="dxa"/>
            <w:vAlign w:val="bottom"/>
          </w:tcPr>
          <w:p>
            <w:pPr>
              <w:spacing w:after="0"/>
              <w:rPr>
                <w:sz w:val="15"/>
                <w:szCs w:val="15"/>
                <w:color w:val="auto"/>
              </w:rPr>
            </w:pPr>
          </w:p>
        </w:tc>
        <w:tc>
          <w:tcPr>
            <w:tcW w:w="820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expiration date.</w:t>
            </w:r>
          </w:p>
        </w:tc>
      </w:tr>
      <w:tr>
        <w:trPr>
          <w:trHeight w:val="312"/>
        </w:trPr>
        <w:tc>
          <w:tcPr>
            <w:tcW w:w="31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Conditions to Exchange Offer</w:t>
            </w:r>
          </w:p>
        </w:tc>
        <w:tc>
          <w:tcPr>
            <w:tcW w:w="820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This exchange offer is subject to customary conditions, which we may waive. See the section entitled “</w:t>
            </w:r>
            <w:r>
              <w:rPr>
                <w:rFonts w:ascii="Times New Roman" w:cs="Times New Roman" w:eastAsia="Times New Roman" w:hAnsi="Times New Roman"/>
                <w:sz w:val="14"/>
                <w:szCs w:val="14"/>
                <w:i w:val="1"/>
                <w:iCs w:val="1"/>
                <w:color w:val="auto"/>
              </w:rPr>
              <w:t>The Exchange Offer —</w:t>
            </w:r>
          </w:p>
        </w:tc>
      </w:tr>
      <w:tr>
        <w:trPr>
          <w:trHeight w:val="182"/>
        </w:trPr>
        <w:tc>
          <w:tcPr>
            <w:tcW w:w="3100" w:type="dxa"/>
            <w:vAlign w:val="bottom"/>
          </w:tcPr>
          <w:p>
            <w:pPr>
              <w:spacing w:after="0"/>
              <w:rPr>
                <w:sz w:val="15"/>
                <w:szCs w:val="15"/>
                <w:color w:val="auto"/>
              </w:rPr>
            </w:pPr>
          </w:p>
        </w:tc>
        <w:tc>
          <w:tcPr>
            <w:tcW w:w="8200" w:type="dxa"/>
            <w:vAlign w:val="bottom"/>
            <w:gridSpan w:val="2"/>
          </w:tcPr>
          <w:p>
            <w:pPr>
              <w:ind w:left="880"/>
              <w:spacing w:after="0"/>
              <w:rPr>
                <w:sz w:val="20"/>
                <w:szCs w:val="20"/>
                <w:color w:val="auto"/>
              </w:rPr>
            </w:pPr>
            <w:r>
              <w:rPr>
                <w:rFonts w:ascii="Times New Roman" w:cs="Times New Roman" w:eastAsia="Times New Roman" w:hAnsi="Times New Roman"/>
                <w:sz w:val="14"/>
                <w:szCs w:val="14"/>
                <w:i w:val="1"/>
                <w:iCs w:val="1"/>
                <w:color w:val="auto"/>
              </w:rPr>
              <w:t>Conditions</w:t>
            </w:r>
            <w:r>
              <w:rPr>
                <w:rFonts w:ascii="Times New Roman" w:cs="Times New Roman" w:eastAsia="Times New Roman" w:hAnsi="Times New Roman"/>
                <w:sz w:val="14"/>
                <w:szCs w:val="14"/>
                <w:color w:val="auto"/>
              </w:rPr>
              <w:t>” beginning on page 24.</w:t>
            </w:r>
          </w:p>
        </w:tc>
      </w:tr>
      <w:tr>
        <w:trPr>
          <w:trHeight w:val="316"/>
        </w:trPr>
        <w:tc>
          <w:tcPr>
            <w:tcW w:w="31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Procedures for Tendering Old Notes</w:t>
            </w:r>
          </w:p>
        </w:tc>
        <w:tc>
          <w:tcPr>
            <w:tcW w:w="820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Since the Old Notes are represented by global book-entry notes, the Depository Trust Company (“DTC”), as depositary, or its</w:t>
            </w:r>
          </w:p>
        </w:tc>
      </w:tr>
      <w:tr>
        <w:trPr>
          <w:trHeight w:val="165"/>
        </w:trPr>
        <w:tc>
          <w:tcPr>
            <w:tcW w:w="3100" w:type="dxa"/>
            <w:vAlign w:val="bottom"/>
          </w:tcPr>
          <w:p>
            <w:pPr>
              <w:spacing w:after="0"/>
              <w:rPr>
                <w:sz w:val="14"/>
                <w:szCs w:val="14"/>
                <w:color w:val="auto"/>
              </w:rPr>
            </w:pPr>
          </w:p>
        </w:tc>
        <w:tc>
          <w:tcPr>
            <w:tcW w:w="820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nominee is treated as the registered holder of the Old Notes and will be the only entity that can tender your Old Notes for New</w:t>
            </w:r>
          </w:p>
        </w:tc>
      </w:tr>
      <w:tr>
        <w:trPr>
          <w:trHeight w:val="178"/>
        </w:trPr>
        <w:tc>
          <w:tcPr>
            <w:tcW w:w="3100" w:type="dxa"/>
            <w:vAlign w:val="bottom"/>
          </w:tcPr>
          <w:p>
            <w:pPr>
              <w:spacing w:after="0"/>
              <w:rPr>
                <w:sz w:val="15"/>
                <w:szCs w:val="15"/>
                <w:color w:val="auto"/>
              </w:rPr>
            </w:pPr>
          </w:p>
        </w:tc>
        <w:tc>
          <w:tcPr>
            <w:tcW w:w="820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Notes.</w:t>
            </w:r>
          </w:p>
        </w:tc>
      </w:tr>
      <w:tr>
        <w:trPr>
          <w:trHeight w:val="316"/>
        </w:trPr>
        <w:tc>
          <w:tcPr>
            <w:tcW w:w="3100" w:type="dxa"/>
            <w:vAlign w:val="bottom"/>
          </w:tcPr>
          <w:p>
            <w:pPr>
              <w:spacing w:after="0"/>
              <w:rPr>
                <w:sz w:val="24"/>
                <w:szCs w:val="24"/>
                <w:color w:val="auto"/>
              </w:rPr>
            </w:pPr>
          </w:p>
        </w:tc>
        <w:tc>
          <w:tcPr>
            <w:tcW w:w="820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In order to participate in the exchange offer, you must follow the procedures established by DTC for tendering Old Notes held in</w:t>
            </w:r>
          </w:p>
        </w:tc>
      </w:tr>
      <w:tr>
        <w:trPr>
          <w:trHeight w:val="165"/>
        </w:trPr>
        <w:tc>
          <w:tcPr>
            <w:tcW w:w="3100" w:type="dxa"/>
            <w:vAlign w:val="bottom"/>
          </w:tcPr>
          <w:p>
            <w:pPr>
              <w:spacing w:after="0"/>
              <w:rPr>
                <w:sz w:val="14"/>
                <w:szCs w:val="14"/>
                <w:color w:val="auto"/>
              </w:rPr>
            </w:pPr>
          </w:p>
        </w:tc>
        <w:tc>
          <w:tcPr>
            <w:tcW w:w="820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book-entry form. These procedures, which we call “ATOP” (“Automated Tender Offer Program”) procedures, require that (i) the</w:t>
            </w:r>
          </w:p>
        </w:tc>
      </w:tr>
      <w:tr>
        <w:trPr>
          <w:trHeight w:val="165"/>
        </w:trPr>
        <w:tc>
          <w:tcPr>
            <w:tcW w:w="3100" w:type="dxa"/>
            <w:vAlign w:val="bottom"/>
          </w:tcPr>
          <w:p>
            <w:pPr>
              <w:spacing w:after="0"/>
              <w:rPr>
                <w:sz w:val="14"/>
                <w:szCs w:val="14"/>
                <w:color w:val="auto"/>
              </w:rPr>
            </w:pPr>
          </w:p>
        </w:tc>
        <w:tc>
          <w:tcPr>
            <w:tcW w:w="820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exchange agent receive, prior to the expiration date of the exchange offer, a computer generated message known as an “agent’s</w:t>
            </w:r>
          </w:p>
        </w:tc>
      </w:tr>
      <w:tr>
        <w:trPr>
          <w:trHeight w:val="165"/>
        </w:trPr>
        <w:tc>
          <w:tcPr>
            <w:tcW w:w="3100" w:type="dxa"/>
            <w:vAlign w:val="bottom"/>
          </w:tcPr>
          <w:p>
            <w:pPr>
              <w:spacing w:after="0"/>
              <w:rPr>
                <w:sz w:val="14"/>
                <w:szCs w:val="14"/>
                <w:color w:val="auto"/>
              </w:rPr>
            </w:pPr>
          </w:p>
        </w:tc>
        <w:tc>
          <w:tcPr>
            <w:tcW w:w="820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message” that is transmitted through ATOP, and (ii) DTC has received (a) your instructions to exchange your Old Notes, and</w:t>
            </w:r>
          </w:p>
        </w:tc>
      </w:tr>
      <w:tr>
        <w:trPr>
          <w:trHeight w:val="178"/>
        </w:trPr>
        <w:tc>
          <w:tcPr>
            <w:tcW w:w="3100" w:type="dxa"/>
            <w:vAlign w:val="bottom"/>
          </w:tcPr>
          <w:p>
            <w:pPr>
              <w:spacing w:after="0"/>
              <w:rPr>
                <w:sz w:val="15"/>
                <w:szCs w:val="15"/>
                <w:color w:val="auto"/>
              </w:rPr>
            </w:pPr>
          </w:p>
        </w:tc>
        <w:tc>
          <w:tcPr>
            <w:tcW w:w="820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(b) your agreement to be bound by the terms of the accompanying letter of transmittal for book-entry notes.</w:t>
            </w:r>
          </w:p>
        </w:tc>
      </w:tr>
      <w:tr>
        <w:trPr>
          <w:trHeight w:val="312"/>
        </w:trPr>
        <w:tc>
          <w:tcPr>
            <w:tcW w:w="3100" w:type="dxa"/>
            <w:vAlign w:val="bottom"/>
          </w:tcPr>
          <w:p>
            <w:pPr>
              <w:spacing w:after="0"/>
              <w:rPr>
                <w:sz w:val="24"/>
                <w:szCs w:val="24"/>
                <w:color w:val="auto"/>
              </w:rPr>
            </w:pPr>
          </w:p>
        </w:tc>
        <w:tc>
          <w:tcPr>
            <w:tcW w:w="820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w w:val="99"/>
              </w:rPr>
              <w:t>Please note that by agreeing to be bound by such letter of transmittal, you will be making a number of important representations to</w:t>
            </w:r>
          </w:p>
        </w:tc>
      </w:tr>
      <w:tr>
        <w:trPr>
          <w:trHeight w:val="182"/>
        </w:trPr>
        <w:tc>
          <w:tcPr>
            <w:tcW w:w="3100" w:type="dxa"/>
            <w:vAlign w:val="bottom"/>
          </w:tcPr>
          <w:p>
            <w:pPr>
              <w:spacing w:after="0"/>
              <w:rPr>
                <w:sz w:val="15"/>
                <w:szCs w:val="15"/>
                <w:color w:val="auto"/>
              </w:rPr>
            </w:pPr>
          </w:p>
        </w:tc>
        <w:tc>
          <w:tcPr>
            <w:tcW w:w="820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us. See the section entitled “</w:t>
            </w:r>
            <w:r>
              <w:rPr>
                <w:rFonts w:ascii="Times New Roman" w:cs="Times New Roman" w:eastAsia="Times New Roman" w:hAnsi="Times New Roman"/>
                <w:sz w:val="14"/>
                <w:szCs w:val="14"/>
                <w:i w:val="1"/>
                <w:iCs w:val="1"/>
                <w:color w:val="auto"/>
              </w:rPr>
              <w:t>The Exchange Offer — Eligibility; Transferability</w:t>
            </w:r>
            <w:r>
              <w:rPr>
                <w:rFonts w:ascii="Times New Roman" w:cs="Times New Roman" w:eastAsia="Times New Roman" w:hAnsi="Times New Roman"/>
                <w:sz w:val="14"/>
                <w:szCs w:val="14"/>
                <w:color w:val="auto"/>
              </w:rPr>
              <w:t>” beginning on page 23.</w:t>
            </w:r>
          </w:p>
        </w:tc>
      </w:tr>
      <w:tr>
        <w:trPr>
          <w:trHeight w:val="190"/>
        </w:trPr>
        <w:tc>
          <w:tcPr>
            <w:tcW w:w="3100" w:type="dxa"/>
            <w:vAlign w:val="bottom"/>
            <w:tcBorders>
              <w:bottom w:val="single" w:sz="8" w:color="auto"/>
            </w:tcBorders>
          </w:tcPr>
          <w:p>
            <w:pPr>
              <w:spacing w:after="0"/>
              <w:rPr>
                <w:sz w:val="16"/>
                <w:szCs w:val="16"/>
                <w:color w:val="auto"/>
              </w:rPr>
            </w:pPr>
          </w:p>
        </w:tc>
        <w:tc>
          <w:tcPr>
            <w:tcW w:w="81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r>
      <w:tr>
        <w:trPr>
          <w:trHeight w:val="325"/>
        </w:trPr>
        <w:tc>
          <w:tcPr>
            <w:tcW w:w="3100" w:type="dxa"/>
            <w:vAlign w:val="bottom"/>
            <w:tcBorders>
              <w:bottom w:val="single" w:sz="8" w:color="auto"/>
            </w:tcBorders>
          </w:tcPr>
          <w:p>
            <w:pPr>
              <w:spacing w:after="0"/>
              <w:rPr>
                <w:sz w:val="24"/>
                <w:szCs w:val="24"/>
                <w:color w:val="auto"/>
              </w:rPr>
            </w:pPr>
          </w:p>
        </w:tc>
        <w:tc>
          <w:tcPr>
            <w:tcW w:w="8180" w:type="dxa"/>
            <w:vAlign w:val="bottom"/>
            <w:tcBorders>
              <w:bottom w:val="single" w:sz="8" w:color="auto"/>
            </w:tcBorders>
          </w:tcPr>
          <w:p>
            <w:pPr>
              <w:ind w:left="2500"/>
              <w:spacing w:after="0"/>
              <w:rPr>
                <w:sz w:val="20"/>
                <w:szCs w:val="20"/>
                <w:color w:val="auto"/>
              </w:rPr>
            </w:pPr>
            <w:r>
              <w:rPr>
                <w:rFonts w:ascii="Times New Roman" w:cs="Times New Roman" w:eastAsia="Times New Roman" w:hAnsi="Times New Roman"/>
                <w:sz w:val="14"/>
                <w:szCs w:val="14"/>
                <w:color w:val="auto"/>
              </w:rPr>
              <w:t>7</w:t>
            </w:r>
          </w:p>
        </w:tc>
        <w:tc>
          <w:tcPr>
            <w:tcW w:w="20" w:type="dxa"/>
            <w:vAlign w:val="bottom"/>
          </w:tcPr>
          <w:p>
            <w:pPr>
              <w:spacing w:after="0"/>
              <w:rPr>
                <w:sz w:val="24"/>
                <w:szCs w:val="24"/>
                <w:color w:val="auto"/>
              </w:rPr>
            </w:pPr>
          </w:p>
        </w:tc>
      </w:tr>
    </w:tbl>
    <w:p>
      <w:pPr>
        <w:sectPr>
          <w:pgSz w:w="11900" w:h="16838" w:orient="portrait"/>
          <w:cols w:equalWidth="0" w:num="1">
            <w:col w:w="11300"/>
          </w:cols>
          <w:pgMar w:left="300" w:top="731" w:right="299" w:bottom="1440" w:gutter="0" w:footer="0" w:header="0"/>
        </w:sectPr>
      </w:pPr>
    </w:p>
    <w:bookmarkStart w:id="11" w:name="page12"/>
    <w:bookmarkEnd w:id="1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49"/>
        </w:trPr>
        <w:tc>
          <w:tcPr>
            <w:tcW w:w="3740" w:type="dxa"/>
            <w:vAlign w:val="bottom"/>
            <w:tcBorders>
              <w:top w:val="single" w:sz="8" w:color="auto"/>
              <w:left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Certain United States Federal Income Tax Considerations</w:t>
            </w:r>
          </w:p>
        </w:tc>
        <w:tc>
          <w:tcPr>
            <w:tcW w:w="7560" w:type="dxa"/>
            <w:vAlign w:val="bottom"/>
            <w:tcBorders>
              <w:top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4"/>
                <w:szCs w:val="14"/>
                <w:color w:val="auto"/>
              </w:rPr>
              <w:t>The exchange of Old Notes for New Notes in the exchange offer generally should not constitute a taxable event for U.S. federal</w:t>
            </w:r>
          </w:p>
        </w:tc>
      </w:tr>
      <w:tr>
        <w:trPr>
          <w:trHeight w:val="169"/>
        </w:trPr>
        <w:tc>
          <w:tcPr>
            <w:tcW w:w="3740" w:type="dxa"/>
            <w:vAlign w:val="bottom"/>
            <w:tcBorders>
              <w:left w:val="single" w:sz="8" w:color="auto"/>
            </w:tcBorders>
          </w:tcPr>
          <w:p>
            <w:pPr>
              <w:spacing w:after="0"/>
              <w:rPr>
                <w:sz w:val="14"/>
                <w:szCs w:val="14"/>
                <w:color w:val="auto"/>
              </w:rPr>
            </w:pPr>
          </w:p>
        </w:tc>
        <w:tc>
          <w:tcPr>
            <w:tcW w:w="756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4"/>
                <w:szCs w:val="14"/>
                <w:color w:val="auto"/>
              </w:rPr>
              <w:t>income tax purposes. See the section entitled “</w:t>
            </w:r>
            <w:r>
              <w:rPr>
                <w:rFonts w:ascii="Times New Roman" w:cs="Times New Roman" w:eastAsia="Times New Roman" w:hAnsi="Times New Roman"/>
                <w:sz w:val="14"/>
                <w:szCs w:val="14"/>
                <w:i w:val="1"/>
                <w:iCs w:val="1"/>
                <w:color w:val="auto"/>
              </w:rPr>
              <w:t>Certain United States Federal Income Tax Considerations</w:t>
            </w:r>
            <w:r>
              <w:rPr>
                <w:rFonts w:ascii="Times New Roman" w:cs="Times New Roman" w:eastAsia="Times New Roman" w:hAnsi="Times New Roman"/>
                <w:sz w:val="14"/>
                <w:szCs w:val="14"/>
                <w:color w:val="auto"/>
              </w:rPr>
              <w:t>” beginning on page 47.</w:t>
            </w:r>
          </w:p>
        </w:tc>
      </w:tr>
      <w:tr>
        <w:trPr>
          <w:trHeight w:val="178"/>
        </w:trPr>
        <w:tc>
          <w:tcPr>
            <w:tcW w:w="3740" w:type="dxa"/>
            <w:vAlign w:val="bottom"/>
            <w:tcBorders>
              <w:left w:val="single" w:sz="8" w:color="auto"/>
            </w:tcBorders>
          </w:tcPr>
          <w:p>
            <w:pPr>
              <w:spacing w:after="0"/>
              <w:rPr>
                <w:sz w:val="15"/>
                <w:szCs w:val="15"/>
                <w:color w:val="auto"/>
              </w:rPr>
            </w:pPr>
          </w:p>
        </w:tc>
        <w:tc>
          <w:tcPr>
            <w:tcW w:w="756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4"/>
                <w:szCs w:val="14"/>
                <w:color w:val="auto"/>
              </w:rPr>
              <w:t>You should consult your own tax advisor as to the tax consequences of exchanging your Old Notes for New Notes.</w:t>
            </w:r>
          </w:p>
        </w:tc>
      </w:tr>
      <w:tr>
        <w:trPr>
          <w:trHeight w:val="316"/>
        </w:trPr>
        <w:tc>
          <w:tcPr>
            <w:tcW w:w="374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Registration Rights</w:t>
            </w:r>
          </w:p>
        </w:tc>
        <w:tc>
          <w:tcPr>
            <w:tcW w:w="756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4"/>
                <w:szCs w:val="14"/>
                <w:color w:val="auto"/>
              </w:rPr>
              <w:t>Under the terms of the registration rights agreements that we entered into with the initial purchasers of the Old Notes at the time</w:t>
            </w:r>
          </w:p>
        </w:tc>
      </w:tr>
      <w:tr>
        <w:trPr>
          <w:trHeight w:val="165"/>
        </w:trPr>
        <w:tc>
          <w:tcPr>
            <w:tcW w:w="3740" w:type="dxa"/>
            <w:vAlign w:val="bottom"/>
            <w:tcBorders>
              <w:left w:val="single" w:sz="8" w:color="auto"/>
            </w:tcBorders>
          </w:tcPr>
          <w:p>
            <w:pPr>
              <w:spacing w:after="0"/>
              <w:rPr>
                <w:sz w:val="14"/>
                <w:szCs w:val="14"/>
                <w:color w:val="auto"/>
              </w:rPr>
            </w:pPr>
          </w:p>
        </w:tc>
        <w:tc>
          <w:tcPr>
            <w:tcW w:w="756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4"/>
                <w:szCs w:val="14"/>
                <w:color w:val="auto"/>
              </w:rPr>
              <w:t>we issued the Old Notes, we agreed to register the New Notes and undertake this exchange offer. This exchange offer is intended</w:t>
            </w:r>
          </w:p>
        </w:tc>
      </w:tr>
      <w:tr>
        <w:trPr>
          <w:trHeight w:val="165"/>
        </w:trPr>
        <w:tc>
          <w:tcPr>
            <w:tcW w:w="3740" w:type="dxa"/>
            <w:vAlign w:val="bottom"/>
            <w:tcBorders>
              <w:left w:val="single" w:sz="8" w:color="auto"/>
            </w:tcBorders>
          </w:tcPr>
          <w:p>
            <w:pPr>
              <w:spacing w:after="0"/>
              <w:rPr>
                <w:sz w:val="14"/>
                <w:szCs w:val="14"/>
                <w:color w:val="auto"/>
              </w:rPr>
            </w:pPr>
          </w:p>
        </w:tc>
        <w:tc>
          <w:tcPr>
            <w:tcW w:w="756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4"/>
                <w:szCs w:val="14"/>
                <w:color w:val="auto"/>
              </w:rPr>
              <w:t>to satisfy the rights of holders of Old Notes under those registration rights agreements. After the exchange offer is completed, we</w:t>
            </w:r>
          </w:p>
        </w:tc>
      </w:tr>
      <w:tr>
        <w:trPr>
          <w:trHeight w:val="178"/>
        </w:trPr>
        <w:tc>
          <w:tcPr>
            <w:tcW w:w="3740" w:type="dxa"/>
            <w:vAlign w:val="bottom"/>
            <w:tcBorders>
              <w:left w:val="single" w:sz="8" w:color="auto"/>
            </w:tcBorders>
          </w:tcPr>
          <w:p>
            <w:pPr>
              <w:spacing w:after="0"/>
              <w:rPr>
                <w:sz w:val="15"/>
                <w:szCs w:val="15"/>
                <w:color w:val="auto"/>
              </w:rPr>
            </w:pPr>
          </w:p>
        </w:tc>
        <w:tc>
          <w:tcPr>
            <w:tcW w:w="756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4"/>
                <w:szCs w:val="14"/>
                <w:color w:val="auto"/>
              </w:rPr>
              <w:t>will have no further obligations to provide for any exchange or undertake any further registration with respect to the Old Notes.</w:t>
            </w:r>
          </w:p>
        </w:tc>
      </w:tr>
      <w:tr>
        <w:trPr>
          <w:trHeight w:val="316"/>
        </w:trPr>
        <w:tc>
          <w:tcPr>
            <w:tcW w:w="374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Transferability</w:t>
            </w:r>
          </w:p>
        </w:tc>
        <w:tc>
          <w:tcPr>
            <w:tcW w:w="756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4"/>
                <w:szCs w:val="14"/>
                <w:color w:val="auto"/>
              </w:rPr>
              <w:t>Based upon existing interpretations of the Securities Act by the staff of the SEC contained in several no-action letters issued to</w:t>
            </w:r>
          </w:p>
        </w:tc>
      </w:tr>
      <w:tr>
        <w:trPr>
          <w:trHeight w:val="165"/>
        </w:trPr>
        <w:tc>
          <w:tcPr>
            <w:tcW w:w="3740" w:type="dxa"/>
            <w:vAlign w:val="bottom"/>
            <w:tcBorders>
              <w:left w:val="single" w:sz="8" w:color="auto"/>
            </w:tcBorders>
          </w:tcPr>
          <w:p>
            <w:pPr>
              <w:spacing w:after="0"/>
              <w:rPr>
                <w:sz w:val="14"/>
                <w:szCs w:val="14"/>
                <w:color w:val="auto"/>
              </w:rPr>
            </w:pPr>
          </w:p>
        </w:tc>
        <w:tc>
          <w:tcPr>
            <w:tcW w:w="756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4"/>
                <w:szCs w:val="14"/>
                <w:color w:val="auto"/>
              </w:rPr>
              <w:t>third parties, we believe that the New Notes may be offered for resale, resold or otherwise transferred by you without compliance</w:t>
            </w:r>
          </w:p>
        </w:tc>
      </w:tr>
      <w:tr>
        <w:trPr>
          <w:trHeight w:val="178"/>
        </w:trPr>
        <w:tc>
          <w:tcPr>
            <w:tcW w:w="3740" w:type="dxa"/>
            <w:vAlign w:val="bottom"/>
            <w:tcBorders>
              <w:left w:val="single" w:sz="8" w:color="auto"/>
            </w:tcBorders>
          </w:tcPr>
          <w:p>
            <w:pPr>
              <w:spacing w:after="0"/>
              <w:rPr>
                <w:sz w:val="15"/>
                <w:szCs w:val="15"/>
                <w:color w:val="auto"/>
              </w:rPr>
            </w:pPr>
          </w:p>
        </w:tc>
        <w:tc>
          <w:tcPr>
            <w:tcW w:w="756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4"/>
                <w:szCs w:val="14"/>
                <w:color w:val="auto"/>
              </w:rPr>
              <w:t>with the registration and prospectus delivery requirements of the Securities Act, provided that:</w:t>
            </w:r>
          </w:p>
        </w:tc>
      </w:tr>
      <w:tr>
        <w:trPr>
          <w:trHeight w:val="340"/>
        </w:trPr>
        <w:tc>
          <w:tcPr>
            <w:tcW w:w="3740" w:type="dxa"/>
            <w:vAlign w:val="bottom"/>
            <w:tcBorders>
              <w:left w:val="single" w:sz="8" w:color="auto"/>
            </w:tcBorders>
          </w:tcPr>
          <w:p>
            <w:pPr>
              <w:spacing w:after="0"/>
              <w:rPr>
                <w:sz w:val="24"/>
                <w:szCs w:val="24"/>
                <w:color w:val="auto"/>
              </w:rPr>
            </w:pPr>
          </w:p>
        </w:tc>
        <w:tc>
          <w:tcPr>
            <w:tcW w:w="7560" w:type="dxa"/>
            <w:vAlign w:val="bottom"/>
            <w:tcBorders>
              <w:right w:val="single" w:sz="8" w:color="auto"/>
            </w:tcBorders>
          </w:tcPr>
          <w:p>
            <w:pPr>
              <w:ind w:left="500"/>
              <w:spacing w:after="0"/>
              <w:rPr>
                <w:sz w:val="20"/>
                <w:szCs w:val="20"/>
                <w:color w:val="auto"/>
              </w:rPr>
            </w:pPr>
            <w:r>
              <w:rPr>
                <w:rFonts w:ascii="Arial" w:cs="Arial" w:eastAsia="Arial" w:hAnsi="Arial"/>
                <w:sz w:val="14"/>
                <w:szCs w:val="14"/>
                <w:b w:val="1"/>
                <w:bCs w:val="1"/>
                <w:color w:val="auto"/>
              </w:rPr>
              <w:t>·</w:t>
            </w:r>
            <w:r>
              <w:rPr>
                <w:rFonts w:ascii="Times New Roman" w:cs="Times New Roman" w:eastAsia="Times New Roman" w:hAnsi="Times New Roman"/>
                <w:sz w:val="14"/>
                <w:szCs w:val="14"/>
                <w:color w:val="auto"/>
              </w:rPr>
              <w:t>      you are acquiring the New Notes in the ordinary course of your business;</w:t>
            </w:r>
          </w:p>
        </w:tc>
      </w:tr>
      <w:tr>
        <w:trPr>
          <w:trHeight w:val="327"/>
        </w:trPr>
        <w:tc>
          <w:tcPr>
            <w:tcW w:w="3740" w:type="dxa"/>
            <w:vAlign w:val="bottom"/>
            <w:tcBorders>
              <w:left w:val="single" w:sz="8" w:color="auto"/>
            </w:tcBorders>
          </w:tcPr>
          <w:p>
            <w:pPr>
              <w:spacing w:after="0"/>
              <w:rPr>
                <w:sz w:val="24"/>
                <w:szCs w:val="24"/>
                <w:color w:val="auto"/>
              </w:rPr>
            </w:pPr>
          </w:p>
        </w:tc>
        <w:tc>
          <w:tcPr>
            <w:tcW w:w="7560" w:type="dxa"/>
            <w:vAlign w:val="bottom"/>
            <w:tcBorders>
              <w:right w:val="single" w:sz="8" w:color="auto"/>
            </w:tcBorders>
          </w:tcPr>
          <w:p>
            <w:pPr>
              <w:ind w:left="500"/>
              <w:spacing w:after="0"/>
              <w:rPr>
                <w:sz w:val="20"/>
                <w:szCs w:val="20"/>
                <w:color w:val="auto"/>
              </w:rPr>
            </w:pPr>
            <w:r>
              <w:rPr>
                <w:rFonts w:ascii="Arial" w:cs="Arial" w:eastAsia="Arial" w:hAnsi="Arial"/>
                <w:sz w:val="14"/>
                <w:szCs w:val="14"/>
                <w:b w:val="1"/>
                <w:bCs w:val="1"/>
                <w:color w:val="auto"/>
              </w:rPr>
              <w:t>·</w:t>
            </w:r>
            <w:r>
              <w:rPr>
                <w:rFonts w:ascii="Times New Roman" w:cs="Times New Roman" w:eastAsia="Times New Roman" w:hAnsi="Times New Roman"/>
                <w:sz w:val="14"/>
                <w:szCs w:val="14"/>
                <w:color w:val="auto"/>
              </w:rPr>
              <w:t>      you are not participating or engaged in, do not intend to participate or engage in, and have no arrangement or</w:t>
            </w:r>
          </w:p>
        </w:tc>
      </w:tr>
      <w:tr>
        <w:trPr>
          <w:trHeight w:val="178"/>
        </w:trPr>
        <w:tc>
          <w:tcPr>
            <w:tcW w:w="3740" w:type="dxa"/>
            <w:vAlign w:val="bottom"/>
            <w:tcBorders>
              <w:left w:val="single" w:sz="8" w:color="auto"/>
            </w:tcBorders>
          </w:tcPr>
          <w:p>
            <w:pPr>
              <w:spacing w:after="0"/>
              <w:rPr>
                <w:sz w:val="15"/>
                <w:szCs w:val="15"/>
                <w:color w:val="auto"/>
              </w:rPr>
            </w:pPr>
          </w:p>
        </w:tc>
        <w:tc>
          <w:tcPr>
            <w:tcW w:w="756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4"/>
                <w:szCs w:val="14"/>
                <w:color w:val="auto"/>
              </w:rPr>
              <w:t>understanding with any person to participate in, the distribution of the New Notes issued to you;</w:t>
            </w:r>
          </w:p>
        </w:tc>
      </w:tr>
      <w:tr>
        <w:trPr>
          <w:trHeight w:val="340"/>
        </w:trPr>
        <w:tc>
          <w:tcPr>
            <w:tcW w:w="3740" w:type="dxa"/>
            <w:vAlign w:val="bottom"/>
            <w:tcBorders>
              <w:left w:val="single" w:sz="8" w:color="auto"/>
            </w:tcBorders>
          </w:tcPr>
          <w:p>
            <w:pPr>
              <w:spacing w:after="0"/>
              <w:rPr>
                <w:sz w:val="24"/>
                <w:szCs w:val="24"/>
                <w:color w:val="auto"/>
              </w:rPr>
            </w:pPr>
          </w:p>
        </w:tc>
        <w:tc>
          <w:tcPr>
            <w:tcW w:w="7560" w:type="dxa"/>
            <w:vAlign w:val="bottom"/>
            <w:tcBorders>
              <w:right w:val="single" w:sz="8" w:color="auto"/>
            </w:tcBorders>
          </w:tcPr>
          <w:p>
            <w:pPr>
              <w:ind w:left="500"/>
              <w:spacing w:after="0"/>
              <w:rPr>
                <w:sz w:val="20"/>
                <w:szCs w:val="20"/>
                <w:color w:val="auto"/>
              </w:rPr>
            </w:pPr>
            <w:r>
              <w:rPr>
                <w:rFonts w:ascii="Arial" w:cs="Arial" w:eastAsia="Arial" w:hAnsi="Arial"/>
                <w:sz w:val="14"/>
                <w:szCs w:val="14"/>
                <w:b w:val="1"/>
                <w:bCs w:val="1"/>
                <w:color w:val="auto"/>
              </w:rPr>
              <w:t>·</w:t>
            </w:r>
            <w:r>
              <w:rPr>
                <w:rFonts w:ascii="Times New Roman" w:cs="Times New Roman" w:eastAsia="Times New Roman" w:hAnsi="Times New Roman"/>
                <w:sz w:val="14"/>
                <w:szCs w:val="14"/>
                <w:color w:val="auto"/>
              </w:rPr>
              <w:t>      you are not an “affiliate” of ours within the meaning of Rule 405 under the Securities Act; and</w:t>
            </w:r>
          </w:p>
        </w:tc>
      </w:tr>
      <w:tr>
        <w:trPr>
          <w:trHeight w:val="340"/>
        </w:trPr>
        <w:tc>
          <w:tcPr>
            <w:tcW w:w="3740" w:type="dxa"/>
            <w:vAlign w:val="bottom"/>
            <w:tcBorders>
              <w:left w:val="single" w:sz="8" w:color="auto"/>
            </w:tcBorders>
          </w:tcPr>
          <w:p>
            <w:pPr>
              <w:spacing w:after="0"/>
              <w:rPr>
                <w:sz w:val="24"/>
                <w:szCs w:val="24"/>
                <w:color w:val="auto"/>
              </w:rPr>
            </w:pPr>
          </w:p>
        </w:tc>
        <w:tc>
          <w:tcPr>
            <w:tcW w:w="7560" w:type="dxa"/>
            <w:vAlign w:val="bottom"/>
            <w:tcBorders>
              <w:right w:val="single" w:sz="8" w:color="auto"/>
            </w:tcBorders>
          </w:tcPr>
          <w:p>
            <w:pPr>
              <w:ind w:left="500"/>
              <w:spacing w:after="0"/>
              <w:rPr>
                <w:sz w:val="20"/>
                <w:szCs w:val="20"/>
                <w:color w:val="auto"/>
              </w:rPr>
            </w:pPr>
            <w:r>
              <w:rPr>
                <w:rFonts w:ascii="Arial" w:cs="Arial" w:eastAsia="Arial" w:hAnsi="Arial"/>
                <w:sz w:val="14"/>
                <w:szCs w:val="14"/>
                <w:b w:val="1"/>
                <w:bCs w:val="1"/>
                <w:color w:val="auto"/>
              </w:rPr>
              <w:t>·</w:t>
            </w:r>
            <w:r>
              <w:rPr>
                <w:rFonts w:ascii="Times New Roman" w:cs="Times New Roman" w:eastAsia="Times New Roman" w:hAnsi="Times New Roman"/>
                <w:sz w:val="14"/>
                <w:szCs w:val="14"/>
                <w:color w:val="auto"/>
              </w:rPr>
              <w:t>      you are not acting on behalf of any person who could not truthfully make these statements.</w:t>
            </w:r>
          </w:p>
        </w:tc>
      </w:tr>
      <w:tr>
        <w:trPr>
          <w:trHeight w:val="316"/>
        </w:trPr>
        <w:tc>
          <w:tcPr>
            <w:tcW w:w="3740" w:type="dxa"/>
            <w:vAlign w:val="bottom"/>
            <w:tcBorders>
              <w:left w:val="single" w:sz="8" w:color="auto"/>
            </w:tcBorders>
          </w:tcPr>
          <w:p>
            <w:pPr>
              <w:spacing w:after="0"/>
              <w:rPr>
                <w:sz w:val="24"/>
                <w:szCs w:val="24"/>
                <w:color w:val="auto"/>
              </w:rPr>
            </w:pPr>
          </w:p>
        </w:tc>
        <w:tc>
          <w:tcPr>
            <w:tcW w:w="756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4"/>
                <w:szCs w:val="14"/>
                <w:color w:val="auto"/>
              </w:rPr>
              <w:t>Our belief that transfers of New Notes would be permitted without registration or prospectus delivery under the conditions</w:t>
            </w:r>
          </w:p>
        </w:tc>
      </w:tr>
      <w:tr>
        <w:trPr>
          <w:trHeight w:val="165"/>
        </w:trPr>
        <w:tc>
          <w:tcPr>
            <w:tcW w:w="3740" w:type="dxa"/>
            <w:vAlign w:val="bottom"/>
            <w:tcBorders>
              <w:left w:val="single" w:sz="8" w:color="auto"/>
            </w:tcBorders>
          </w:tcPr>
          <w:p>
            <w:pPr>
              <w:spacing w:after="0"/>
              <w:rPr>
                <w:sz w:val="14"/>
                <w:szCs w:val="14"/>
                <w:color w:val="auto"/>
              </w:rPr>
            </w:pPr>
          </w:p>
        </w:tc>
        <w:tc>
          <w:tcPr>
            <w:tcW w:w="756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4"/>
                <w:szCs w:val="14"/>
                <w:color w:val="auto"/>
                <w:w w:val="99"/>
              </w:rPr>
              <w:t>described above is based on interpretations by the staff of the SEC given to other, unrelated issuers in similar exchange offers. The</w:t>
            </w:r>
          </w:p>
        </w:tc>
      </w:tr>
      <w:tr>
        <w:trPr>
          <w:trHeight w:val="165"/>
        </w:trPr>
        <w:tc>
          <w:tcPr>
            <w:tcW w:w="3740" w:type="dxa"/>
            <w:vAlign w:val="bottom"/>
            <w:tcBorders>
              <w:left w:val="single" w:sz="8" w:color="auto"/>
            </w:tcBorders>
          </w:tcPr>
          <w:p>
            <w:pPr>
              <w:spacing w:after="0"/>
              <w:rPr>
                <w:sz w:val="14"/>
                <w:szCs w:val="14"/>
                <w:color w:val="auto"/>
              </w:rPr>
            </w:pPr>
          </w:p>
        </w:tc>
        <w:tc>
          <w:tcPr>
            <w:tcW w:w="756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4"/>
                <w:szCs w:val="14"/>
                <w:color w:val="auto"/>
              </w:rPr>
              <w:t>staff of the SEC has not considered this exchange offer in the context of a no-action letter, and we cannot assure you that the staff</w:t>
            </w:r>
          </w:p>
        </w:tc>
      </w:tr>
      <w:tr>
        <w:trPr>
          <w:trHeight w:val="178"/>
        </w:trPr>
        <w:tc>
          <w:tcPr>
            <w:tcW w:w="3740" w:type="dxa"/>
            <w:vAlign w:val="bottom"/>
            <w:tcBorders>
              <w:left w:val="single" w:sz="8" w:color="auto"/>
            </w:tcBorders>
          </w:tcPr>
          <w:p>
            <w:pPr>
              <w:spacing w:after="0"/>
              <w:rPr>
                <w:sz w:val="15"/>
                <w:szCs w:val="15"/>
                <w:color w:val="auto"/>
              </w:rPr>
            </w:pPr>
          </w:p>
        </w:tc>
        <w:tc>
          <w:tcPr>
            <w:tcW w:w="756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4"/>
                <w:szCs w:val="14"/>
                <w:color w:val="auto"/>
              </w:rPr>
              <w:t>of the SEC would make a similar interpretation with respect to our exchange offer.</w:t>
            </w:r>
          </w:p>
        </w:tc>
      </w:tr>
      <w:tr>
        <w:trPr>
          <w:trHeight w:val="316"/>
        </w:trPr>
        <w:tc>
          <w:tcPr>
            <w:tcW w:w="3740" w:type="dxa"/>
            <w:vAlign w:val="bottom"/>
            <w:tcBorders>
              <w:left w:val="single" w:sz="8" w:color="auto"/>
            </w:tcBorders>
          </w:tcPr>
          <w:p>
            <w:pPr>
              <w:spacing w:after="0"/>
              <w:rPr>
                <w:sz w:val="24"/>
                <w:szCs w:val="24"/>
                <w:color w:val="auto"/>
              </w:rPr>
            </w:pPr>
          </w:p>
        </w:tc>
        <w:tc>
          <w:tcPr>
            <w:tcW w:w="756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4"/>
                <w:szCs w:val="14"/>
                <w:color w:val="auto"/>
              </w:rPr>
              <w:t>If our belief is not accurate and you transfer a New Note without delivering a prospectus meeting the requirements of the</w:t>
            </w:r>
          </w:p>
        </w:tc>
      </w:tr>
      <w:tr>
        <w:trPr>
          <w:trHeight w:val="165"/>
        </w:trPr>
        <w:tc>
          <w:tcPr>
            <w:tcW w:w="3740" w:type="dxa"/>
            <w:vAlign w:val="bottom"/>
            <w:tcBorders>
              <w:left w:val="single" w:sz="8" w:color="auto"/>
            </w:tcBorders>
          </w:tcPr>
          <w:p>
            <w:pPr>
              <w:spacing w:after="0"/>
              <w:rPr>
                <w:sz w:val="14"/>
                <w:szCs w:val="14"/>
                <w:color w:val="auto"/>
              </w:rPr>
            </w:pPr>
          </w:p>
        </w:tc>
        <w:tc>
          <w:tcPr>
            <w:tcW w:w="756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4"/>
                <w:szCs w:val="14"/>
                <w:color w:val="auto"/>
              </w:rPr>
              <w:t>Securities Act or without an exemption from such requirements, you may incur liability under the Securities Act. We do not and</w:t>
            </w:r>
          </w:p>
        </w:tc>
      </w:tr>
      <w:tr>
        <w:trPr>
          <w:trHeight w:val="178"/>
        </w:trPr>
        <w:tc>
          <w:tcPr>
            <w:tcW w:w="3740" w:type="dxa"/>
            <w:vAlign w:val="bottom"/>
            <w:tcBorders>
              <w:left w:val="single" w:sz="8" w:color="auto"/>
            </w:tcBorders>
          </w:tcPr>
          <w:p>
            <w:pPr>
              <w:spacing w:after="0"/>
              <w:rPr>
                <w:sz w:val="15"/>
                <w:szCs w:val="15"/>
                <w:color w:val="auto"/>
              </w:rPr>
            </w:pPr>
          </w:p>
        </w:tc>
        <w:tc>
          <w:tcPr>
            <w:tcW w:w="756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4"/>
                <w:szCs w:val="14"/>
                <w:color w:val="auto"/>
              </w:rPr>
              <w:t>will not assume, or indemnify you against, such liability.</w:t>
            </w:r>
          </w:p>
        </w:tc>
      </w:tr>
      <w:tr>
        <w:trPr>
          <w:trHeight w:val="190"/>
        </w:trPr>
        <w:tc>
          <w:tcPr>
            <w:tcW w:w="3740" w:type="dxa"/>
            <w:vAlign w:val="bottom"/>
            <w:tcBorders>
              <w:left w:val="single" w:sz="8" w:color="auto"/>
              <w:bottom w:val="single" w:sz="8" w:color="auto"/>
            </w:tcBorders>
          </w:tcPr>
          <w:p>
            <w:pPr>
              <w:spacing w:after="0"/>
              <w:rPr>
                <w:sz w:val="16"/>
                <w:szCs w:val="16"/>
                <w:color w:val="auto"/>
              </w:rPr>
            </w:pPr>
          </w:p>
        </w:tc>
        <w:tc>
          <w:tcPr>
            <w:tcW w:w="7560" w:type="dxa"/>
            <w:vAlign w:val="bottom"/>
            <w:tcBorders>
              <w:bottom w:val="single" w:sz="8" w:color="auto"/>
              <w:right w:val="single" w:sz="8" w:color="auto"/>
            </w:tcBorders>
          </w:tcPr>
          <w:p>
            <w:pPr>
              <w:spacing w:after="0"/>
              <w:rPr>
                <w:sz w:val="16"/>
                <w:szCs w:val="16"/>
                <w:color w:val="auto"/>
              </w:rPr>
            </w:pPr>
          </w:p>
        </w:tc>
      </w:tr>
      <w:tr>
        <w:trPr>
          <w:trHeight w:val="325"/>
        </w:trPr>
        <w:tc>
          <w:tcPr>
            <w:tcW w:w="3740" w:type="dxa"/>
            <w:vAlign w:val="bottom"/>
            <w:tcBorders>
              <w:bottom w:val="single" w:sz="8" w:color="auto"/>
            </w:tcBorders>
          </w:tcPr>
          <w:p>
            <w:pPr>
              <w:spacing w:after="0"/>
              <w:rPr>
                <w:sz w:val="24"/>
                <w:szCs w:val="24"/>
                <w:color w:val="auto"/>
              </w:rPr>
            </w:pPr>
          </w:p>
        </w:tc>
        <w:tc>
          <w:tcPr>
            <w:tcW w:w="7560" w:type="dxa"/>
            <w:vAlign w:val="bottom"/>
            <w:tcBorders>
              <w:bottom w:val="single" w:sz="8" w:color="auto"/>
            </w:tcBorders>
          </w:tcPr>
          <w:p>
            <w:pPr>
              <w:ind w:left="1860"/>
              <w:spacing w:after="0"/>
              <w:rPr>
                <w:sz w:val="20"/>
                <w:szCs w:val="20"/>
                <w:color w:val="auto"/>
              </w:rPr>
            </w:pPr>
            <w:r>
              <w:rPr>
                <w:rFonts w:ascii="Times New Roman" w:cs="Times New Roman" w:eastAsia="Times New Roman" w:hAnsi="Times New Roman"/>
                <w:sz w:val="14"/>
                <w:szCs w:val="14"/>
                <w:color w:val="auto"/>
              </w:rPr>
              <w:t>8</w:t>
            </w:r>
          </w:p>
        </w:tc>
      </w:tr>
    </w:tbl>
    <w:p>
      <w:pPr>
        <w:sectPr>
          <w:pgSz w:w="11900" w:h="16838" w:orient="portrait"/>
          <w:cols w:equalWidth="0" w:num="1">
            <w:col w:w="11300"/>
          </w:cols>
          <w:pgMar w:left="300" w:top="547" w:right="299" w:bottom="1440" w:gutter="0" w:footer="0" w:header="0"/>
        </w:sectPr>
      </w:pPr>
    </w:p>
    <w:bookmarkStart w:id="12" w:name="page13"/>
    <w:bookmarkEnd w:id="1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53"/>
        </w:trPr>
        <w:tc>
          <w:tcPr>
            <w:tcW w:w="3440" w:type="dxa"/>
            <w:vAlign w:val="bottom"/>
            <w:tcBorders>
              <w:top w:val="single" w:sz="8" w:color="auto"/>
              <w:left w:val="single" w:sz="8" w:color="auto"/>
            </w:tcBorders>
          </w:tcPr>
          <w:p>
            <w:pPr>
              <w:spacing w:after="0"/>
              <w:rPr>
                <w:sz w:val="24"/>
                <w:szCs w:val="24"/>
                <w:color w:val="auto"/>
              </w:rPr>
            </w:pPr>
          </w:p>
        </w:tc>
        <w:tc>
          <w:tcPr>
            <w:tcW w:w="7860" w:type="dxa"/>
            <w:vAlign w:val="bottom"/>
            <w:tcBorders>
              <w:top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Each broker-dealer that receives New Notes for its own account under the exchange offer in exchange for Old Notes that were</w:t>
            </w:r>
          </w:p>
        </w:tc>
      </w:tr>
      <w:tr>
        <w:trPr>
          <w:trHeight w:val="165"/>
        </w:trPr>
        <w:tc>
          <w:tcPr>
            <w:tcW w:w="3440" w:type="dxa"/>
            <w:vAlign w:val="bottom"/>
            <w:tcBorders>
              <w:left w:val="single" w:sz="8" w:color="auto"/>
            </w:tcBorders>
          </w:tcPr>
          <w:p>
            <w:pPr>
              <w:spacing w:after="0"/>
              <w:rPr>
                <w:sz w:val="14"/>
                <w:szCs w:val="14"/>
                <w:color w:val="auto"/>
              </w:rPr>
            </w:pPr>
          </w:p>
        </w:tc>
        <w:tc>
          <w:tcPr>
            <w:tcW w:w="786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acquired by the broker-dealer as a result of market-making or other trading activity must acknowledge that it will deliver a</w:t>
            </w:r>
          </w:p>
        </w:tc>
      </w:tr>
      <w:tr>
        <w:trPr>
          <w:trHeight w:val="178"/>
        </w:trPr>
        <w:tc>
          <w:tcPr>
            <w:tcW w:w="3440" w:type="dxa"/>
            <w:vAlign w:val="bottom"/>
            <w:tcBorders>
              <w:left w:val="single" w:sz="8" w:color="auto"/>
            </w:tcBorders>
          </w:tcPr>
          <w:p>
            <w:pPr>
              <w:spacing w:after="0"/>
              <w:rPr>
                <w:sz w:val="15"/>
                <w:szCs w:val="15"/>
                <w:color w:val="auto"/>
              </w:rPr>
            </w:pPr>
          </w:p>
        </w:tc>
        <w:tc>
          <w:tcPr>
            <w:tcW w:w="786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prospectus meeting the requirements of the Securities Act in connection with any resale of the New Notes.</w:t>
            </w:r>
          </w:p>
        </w:tc>
      </w:tr>
      <w:tr>
        <w:trPr>
          <w:trHeight w:val="316"/>
        </w:trPr>
        <w:tc>
          <w:tcPr>
            <w:tcW w:w="3440" w:type="dxa"/>
            <w:vAlign w:val="bottom"/>
            <w:tcBorders>
              <w:left w:val="single" w:sz="8" w:color="auto"/>
            </w:tcBorders>
          </w:tcPr>
          <w:p>
            <w:pPr>
              <w:spacing w:after="0"/>
              <w:rPr>
                <w:sz w:val="24"/>
                <w:szCs w:val="24"/>
                <w:color w:val="auto"/>
              </w:rPr>
            </w:pPr>
          </w:p>
        </w:tc>
        <w:tc>
          <w:tcPr>
            <w:tcW w:w="786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See the sections entitled “</w:t>
            </w:r>
            <w:r>
              <w:rPr>
                <w:rFonts w:ascii="Times New Roman" w:cs="Times New Roman" w:eastAsia="Times New Roman" w:hAnsi="Times New Roman"/>
                <w:sz w:val="14"/>
                <w:szCs w:val="14"/>
                <w:i w:val="1"/>
                <w:iCs w:val="1"/>
                <w:color w:val="auto"/>
              </w:rPr>
              <w:t>The Exchange Offer — Eligibility; Transferability</w:t>
            </w:r>
            <w:r>
              <w:rPr>
                <w:rFonts w:ascii="Times New Roman" w:cs="Times New Roman" w:eastAsia="Times New Roman" w:hAnsi="Times New Roman"/>
                <w:sz w:val="14"/>
                <w:szCs w:val="14"/>
                <w:color w:val="auto"/>
              </w:rPr>
              <w:t>” beginning on page 23 and “</w:t>
            </w:r>
            <w:r>
              <w:rPr>
                <w:rFonts w:ascii="Times New Roman" w:cs="Times New Roman" w:eastAsia="Times New Roman" w:hAnsi="Times New Roman"/>
                <w:sz w:val="14"/>
                <w:szCs w:val="14"/>
                <w:i w:val="1"/>
                <w:iCs w:val="1"/>
                <w:color w:val="auto"/>
              </w:rPr>
              <w:t>Plan of Distribution</w:t>
            </w:r>
            <w:r>
              <w:rPr>
                <w:rFonts w:ascii="Times New Roman" w:cs="Times New Roman" w:eastAsia="Times New Roman" w:hAnsi="Times New Roman"/>
                <w:sz w:val="14"/>
                <w:szCs w:val="14"/>
                <w:color w:val="auto"/>
              </w:rPr>
              <w:t>”</w:t>
            </w:r>
          </w:p>
        </w:tc>
      </w:tr>
      <w:tr>
        <w:trPr>
          <w:trHeight w:val="178"/>
        </w:trPr>
        <w:tc>
          <w:tcPr>
            <w:tcW w:w="3440" w:type="dxa"/>
            <w:vAlign w:val="bottom"/>
            <w:tcBorders>
              <w:left w:val="single" w:sz="8" w:color="auto"/>
            </w:tcBorders>
          </w:tcPr>
          <w:p>
            <w:pPr>
              <w:spacing w:after="0"/>
              <w:rPr>
                <w:sz w:val="15"/>
                <w:szCs w:val="15"/>
                <w:color w:val="auto"/>
              </w:rPr>
            </w:pPr>
          </w:p>
        </w:tc>
        <w:tc>
          <w:tcPr>
            <w:tcW w:w="786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beginning on page 48.</w:t>
            </w:r>
          </w:p>
        </w:tc>
      </w:tr>
      <w:tr>
        <w:trPr>
          <w:trHeight w:val="316"/>
        </w:trPr>
        <w:tc>
          <w:tcPr>
            <w:tcW w:w="344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Consequences of Failing to Exchange Old Notes</w:t>
            </w:r>
          </w:p>
        </w:tc>
        <w:tc>
          <w:tcPr>
            <w:tcW w:w="786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Any Old Notes that are not exchanged in the exchange offer will continue to be governed by the indenture relating to the Old</w:t>
            </w:r>
          </w:p>
        </w:tc>
      </w:tr>
      <w:tr>
        <w:trPr>
          <w:trHeight w:val="165"/>
        </w:trPr>
        <w:tc>
          <w:tcPr>
            <w:tcW w:w="3440" w:type="dxa"/>
            <w:vAlign w:val="bottom"/>
            <w:tcBorders>
              <w:left w:val="single" w:sz="8" w:color="auto"/>
            </w:tcBorders>
          </w:tcPr>
          <w:p>
            <w:pPr>
              <w:spacing w:after="0"/>
              <w:rPr>
                <w:sz w:val="14"/>
                <w:szCs w:val="14"/>
                <w:color w:val="auto"/>
              </w:rPr>
            </w:pPr>
          </w:p>
        </w:tc>
        <w:tc>
          <w:tcPr>
            <w:tcW w:w="786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Notes and the terms of the Old Notes. Old Notes that are not exchanged will remain subject to the restrictions on transfer</w:t>
            </w:r>
          </w:p>
        </w:tc>
      </w:tr>
      <w:tr>
        <w:trPr>
          <w:trHeight w:val="165"/>
        </w:trPr>
        <w:tc>
          <w:tcPr>
            <w:tcW w:w="3440" w:type="dxa"/>
            <w:vAlign w:val="bottom"/>
            <w:tcBorders>
              <w:left w:val="single" w:sz="8" w:color="auto"/>
            </w:tcBorders>
          </w:tcPr>
          <w:p>
            <w:pPr>
              <w:spacing w:after="0"/>
              <w:rPr>
                <w:sz w:val="14"/>
                <w:szCs w:val="14"/>
                <w:color w:val="auto"/>
              </w:rPr>
            </w:pPr>
          </w:p>
        </w:tc>
        <w:tc>
          <w:tcPr>
            <w:tcW w:w="786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described in the Old Notes, and you will not be able to offer or sell the Old Notes except under an exemption from the</w:t>
            </w:r>
          </w:p>
        </w:tc>
      </w:tr>
      <w:tr>
        <w:trPr>
          <w:trHeight w:val="165"/>
        </w:trPr>
        <w:tc>
          <w:tcPr>
            <w:tcW w:w="3440" w:type="dxa"/>
            <w:vAlign w:val="bottom"/>
            <w:tcBorders>
              <w:left w:val="single" w:sz="8" w:color="auto"/>
            </w:tcBorders>
          </w:tcPr>
          <w:p>
            <w:pPr>
              <w:spacing w:after="0"/>
              <w:rPr>
                <w:sz w:val="14"/>
                <w:szCs w:val="14"/>
                <w:color w:val="auto"/>
              </w:rPr>
            </w:pPr>
          </w:p>
        </w:tc>
        <w:tc>
          <w:tcPr>
            <w:tcW w:w="786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requirements of the Securities Act or unless the Old Notes are otherwise registered under the Securities Act. Upon the completion</w:t>
            </w:r>
          </w:p>
        </w:tc>
      </w:tr>
      <w:tr>
        <w:trPr>
          <w:trHeight w:val="165"/>
        </w:trPr>
        <w:tc>
          <w:tcPr>
            <w:tcW w:w="3440" w:type="dxa"/>
            <w:vAlign w:val="bottom"/>
            <w:tcBorders>
              <w:left w:val="single" w:sz="8" w:color="auto"/>
            </w:tcBorders>
          </w:tcPr>
          <w:p>
            <w:pPr>
              <w:spacing w:after="0"/>
              <w:rPr>
                <w:sz w:val="14"/>
                <w:szCs w:val="14"/>
                <w:color w:val="auto"/>
              </w:rPr>
            </w:pPr>
          </w:p>
        </w:tc>
        <w:tc>
          <w:tcPr>
            <w:tcW w:w="786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of the exchange offer, we will have no further obligations to provide for registration of the Old Notes under the U.S. federal</w:t>
            </w:r>
          </w:p>
        </w:tc>
      </w:tr>
      <w:tr>
        <w:trPr>
          <w:trHeight w:val="161"/>
        </w:trPr>
        <w:tc>
          <w:tcPr>
            <w:tcW w:w="3440" w:type="dxa"/>
            <w:vAlign w:val="bottom"/>
            <w:tcBorders>
              <w:left w:val="single" w:sz="8" w:color="auto"/>
            </w:tcBorders>
          </w:tcPr>
          <w:p>
            <w:pPr>
              <w:spacing w:after="0"/>
              <w:rPr>
                <w:sz w:val="13"/>
                <w:szCs w:val="13"/>
                <w:color w:val="auto"/>
              </w:rPr>
            </w:pPr>
          </w:p>
        </w:tc>
        <w:tc>
          <w:tcPr>
            <w:tcW w:w="786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w w:val="99"/>
              </w:rPr>
              <w:t>securities laws. If you do not participate in the exchange offer, the liquidity of your Old Notes could be adversely affected. See the</w:t>
            </w:r>
          </w:p>
        </w:tc>
      </w:tr>
      <w:tr>
        <w:trPr>
          <w:trHeight w:val="182"/>
        </w:trPr>
        <w:tc>
          <w:tcPr>
            <w:tcW w:w="3440" w:type="dxa"/>
            <w:vAlign w:val="bottom"/>
            <w:tcBorders>
              <w:left w:val="single" w:sz="8" w:color="auto"/>
            </w:tcBorders>
          </w:tcPr>
          <w:p>
            <w:pPr>
              <w:spacing w:after="0"/>
              <w:rPr>
                <w:sz w:val="15"/>
                <w:szCs w:val="15"/>
                <w:color w:val="auto"/>
              </w:rPr>
            </w:pPr>
          </w:p>
        </w:tc>
        <w:tc>
          <w:tcPr>
            <w:tcW w:w="786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section entitled “</w:t>
            </w:r>
            <w:r>
              <w:rPr>
                <w:rFonts w:ascii="Times New Roman" w:cs="Times New Roman" w:eastAsia="Times New Roman" w:hAnsi="Times New Roman"/>
                <w:sz w:val="14"/>
                <w:szCs w:val="14"/>
                <w:i w:val="1"/>
                <w:iCs w:val="1"/>
                <w:color w:val="auto"/>
              </w:rPr>
              <w:t>The Exchange Offer — Consequences of Failure to Exchange</w:t>
            </w:r>
            <w:r>
              <w:rPr>
                <w:rFonts w:ascii="Times New Roman" w:cs="Times New Roman" w:eastAsia="Times New Roman" w:hAnsi="Times New Roman"/>
                <w:sz w:val="14"/>
                <w:szCs w:val="14"/>
                <w:color w:val="auto"/>
              </w:rPr>
              <w:t>” beginning on page 29.</w:t>
            </w:r>
          </w:p>
        </w:tc>
      </w:tr>
      <w:tr>
        <w:trPr>
          <w:trHeight w:val="330"/>
        </w:trPr>
        <w:tc>
          <w:tcPr>
            <w:tcW w:w="344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Use of Proceeds</w:t>
            </w:r>
          </w:p>
        </w:tc>
        <w:tc>
          <w:tcPr>
            <w:tcW w:w="786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We will not receive any cash proceeds from the exchange of Old Notes for New Notes as a result of the exchange offer.</w:t>
            </w:r>
          </w:p>
        </w:tc>
      </w:tr>
      <w:tr>
        <w:trPr>
          <w:trHeight w:val="316"/>
        </w:trPr>
        <w:tc>
          <w:tcPr>
            <w:tcW w:w="344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Cancellation of Exchanged Old Notes</w:t>
            </w:r>
          </w:p>
        </w:tc>
        <w:tc>
          <w:tcPr>
            <w:tcW w:w="786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Old Notes that are surrendered in exchange for New Notes will be retired and cancelled by us upon receipt and will not be</w:t>
            </w:r>
          </w:p>
        </w:tc>
      </w:tr>
      <w:tr>
        <w:trPr>
          <w:trHeight w:val="165"/>
        </w:trPr>
        <w:tc>
          <w:tcPr>
            <w:tcW w:w="3440" w:type="dxa"/>
            <w:vAlign w:val="bottom"/>
            <w:tcBorders>
              <w:left w:val="single" w:sz="8" w:color="auto"/>
            </w:tcBorders>
          </w:tcPr>
          <w:p>
            <w:pPr>
              <w:spacing w:after="0"/>
              <w:rPr>
                <w:sz w:val="14"/>
                <w:szCs w:val="14"/>
                <w:color w:val="auto"/>
              </w:rPr>
            </w:pPr>
          </w:p>
        </w:tc>
        <w:tc>
          <w:tcPr>
            <w:tcW w:w="786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reissued. Accordingly, the issuance of the New Notes under this exchange offer will not result in any increase in our outstanding</w:t>
            </w:r>
          </w:p>
        </w:tc>
      </w:tr>
      <w:tr>
        <w:trPr>
          <w:trHeight w:val="178"/>
        </w:trPr>
        <w:tc>
          <w:tcPr>
            <w:tcW w:w="3440" w:type="dxa"/>
            <w:vAlign w:val="bottom"/>
            <w:tcBorders>
              <w:left w:val="single" w:sz="8" w:color="auto"/>
            </w:tcBorders>
          </w:tcPr>
          <w:p>
            <w:pPr>
              <w:spacing w:after="0"/>
              <w:rPr>
                <w:sz w:val="15"/>
                <w:szCs w:val="15"/>
                <w:color w:val="auto"/>
              </w:rPr>
            </w:pPr>
          </w:p>
        </w:tc>
        <w:tc>
          <w:tcPr>
            <w:tcW w:w="786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indebtedness.</w:t>
            </w:r>
          </w:p>
        </w:tc>
      </w:tr>
      <w:tr>
        <w:trPr>
          <w:trHeight w:val="312"/>
        </w:trPr>
        <w:tc>
          <w:tcPr>
            <w:tcW w:w="344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Exchange Agent</w:t>
            </w:r>
          </w:p>
        </w:tc>
        <w:tc>
          <w:tcPr>
            <w:tcW w:w="786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UMB Bank, N.A. is serving as the exchange agent for this exchange offer. See the section entitled “</w:t>
            </w:r>
            <w:r>
              <w:rPr>
                <w:rFonts w:ascii="Times New Roman" w:cs="Times New Roman" w:eastAsia="Times New Roman" w:hAnsi="Times New Roman"/>
                <w:sz w:val="14"/>
                <w:szCs w:val="14"/>
                <w:i w:val="1"/>
                <w:iCs w:val="1"/>
                <w:color w:val="auto"/>
              </w:rPr>
              <w:t>The Exchange Offer — </w:t>
            </w:r>
          </w:p>
        </w:tc>
      </w:tr>
      <w:tr>
        <w:trPr>
          <w:trHeight w:val="182"/>
        </w:trPr>
        <w:tc>
          <w:tcPr>
            <w:tcW w:w="3440" w:type="dxa"/>
            <w:vAlign w:val="bottom"/>
            <w:tcBorders>
              <w:left w:val="single" w:sz="8" w:color="auto"/>
            </w:tcBorders>
          </w:tcPr>
          <w:p>
            <w:pPr>
              <w:spacing w:after="0"/>
              <w:rPr>
                <w:sz w:val="15"/>
                <w:szCs w:val="15"/>
                <w:color w:val="auto"/>
              </w:rPr>
            </w:pPr>
          </w:p>
        </w:tc>
        <w:tc>
          <w:tcPr>
            <w:tcW w:w="786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4"/>
                <w:szCs w:val="14"/>
                <w:i w:val="1"/>
                <w:iCs w:val="1"/>
                <w:color w:val="auto"/>
              </w:rPr>
              <w:t>Exchange Agent</w:t>
            </w:r>
            <w:r>
              <w:rPr>
                <w:rFonts w:ascii="Times New Roman" w:cs="Times New Roman" w:eastAsia="Times New Roman" w:hAnsi="Times New Roman"/>
                <w:sz w:val="14"/>
                <w:szCs w:val="14"/>
                <w:color w:val="auto"/>
              </w:rPr>
              <w:t>” beginning on page 28, for the address and telephone number of the exchange agent.</w:t>
            </w:r>
          </w:p>
        </w:tc>
      </w:tr>
      <w:tr>
        <w:trPr>
          <w:trHeight w:val="190"/>
        </w:trPr>
        <w:tc>
          <w:tcPr>
            <w:tcW w:w="3440" w:type="dxa"/>
            <w:vAlign w:val="bottom"/>
            <w:tcBorders>
              <w:left w:val="single" w:sz="8" w:color="auto"/>
              <w:bottom w:val="single" w:sz="8" w:color="auto"/>
            </w:tcBorders>
          </w:tcPr>
          <w:p>
            <w:pPr>
              <w:spacing w:after="0"/>
              <w:rPr>
                <w:sz w:val="16"/>
                <w:szCs w:val="16"/>
                <w:color w:val="auto"/>
              </w:rPr>
            </w:pPr>
          </w:p>
        </w:tc>
        <w:tc>
          <w:tcPr>
            <w:tcW w:w="7860" w:type="dxa"/>
            <w:vAlign w:val="bottom"/>
            <w:tcBorders>
              <w:bottom w:val="single" w:sz="8" w:color="auto"/>
              <w:right w:val="single" w:sz="8" w:color="auto"/>
            </w:tcBorders>
          </w:tcPr>
          <w:p>
            <w:pPr>
              <w:spacing w:after="0"/>
              <w:rPr>
                <w:sz w:val="16"/>
                <w:szCs w:val="16"/>
                <w:color w:val="auto"/>
              </w:rPr>
            </w:pPr>
          </w:p>
        </w:tc>
      </w:tr>
      <w:tr>
        <w:trPr>
          <w:trHeight w:val="325"/>
        </w:trPr>
        <w:tc>
          <w:tcPr>
            <w:tcW w:w="3440" w:type="dxa"/>
            <w:vAlign w:val="bottom"/>
            <w:tcBorders>
              <w:bottom w:val="single" w:sz="8" w:color="auto"/>
            </w:tcBorders>
          </w:tcPr>
          <w:p>
            <w:pPr>
              <w:spacing w:after="0"/>
              <w:rPr>
                <w:sz w:val="24"/>
                <w:szCs w:val="24"/>
                <w:color w:val="auto"/>
              </w:rPr>
            </w:pPr>
          </w:p>
        </w:tc>
        <w:tc>
          <w:tcPr>
            <w:tcW w:w="7860" w:type="dxa"/>
            <w:vAlign w:val="bottom"/>
            <w:tcBorders>
              <w:bottom w:val="single" w:sz="8" w:color="auto"/>
            </w:tcBorders>
          </w:tcPr>
          <w:p>
            <w:pPr>
              <w:ind w:left="2160"/>
              <w:spacing w:after="0"/>
              <w:rPr>
                <w:sz w:val="20"/>
                <w:szCs w:val="20"/>
                <w:color w:val="auto"/>
              </w:rPr>
            </w:pPr>
            <w:r>
              <w:rPr>
                <w:rFonts w:ascii="Times New Roman" w:cs="Times New Roman" w:eastAsia="Times New Roman" w:hAnsi="Times New Roman"/>
                <w:sz w:val="14"/>
                <w:szCs w:val="14"/>
                <w:color w:val="auto"/>
              </w:rPr>
              <w:t>9</w:t>
            </w:r>
          </w:p>
        </w:tc>
      </w:tr>
    </w:tbl>
    <w:p>
      <w:pPr>
        <w:sectPr>
          <w:pgSz w:w="11900" w:h="16838" w:orient="portrait"/>
          <w:cols w:equalWidth="0" w:num="1">
            <w:col w:w="11300"/>
          </w:cols>
          <w:pgMar w:left="300" w:top="547" w:right="299"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189230</wp:posOffset>
            </wp:positionH>
            <wp:positionV relativeFrom="page">
              <wp:posOffset>360680</wp:posOffset>
            </wp:positionV>
            <wp:extent cx="7171055" cy="40303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7171055" cy="4030345"/>
                    </a:xfrm>
                    <a:prstGeom prst="rect">
                      <a:avLst/>
                    </a:prstGeom>
                    <a:noFill/>
                  </pic:spPr>
                </pic:pic>
              </a:graphicData>
            </a:graphic>
          </wp:anchor>
        </w:drawing>
        <w:t>Summary of the New Notes</w:t>
      </w:r>
    </w:p>
    <w:p>
      <w:pPr>
        <w:spacing w:after="0" w:line="173" w:lineRule="exact"/>
        <w:rPr>
          <w:sz w:val="20"/>
          <w:szCs w:val="20"/>
          <w:color w:val="auto"/>
        </w:rPr>
      </w:pPr>
    </w:p>
    <w:p>
      <w:pPr>
        <w:ind w:firstLine="495"/>
        <w:spacing w:after="0" w:line="250" w:lineRule="auto"/>
        <w:rPr>
          <w:sz w:val="20"/>
          <w:szCs w:val="20"/>
          <w:color w:val="auto"/>
        </w:rPr>
      </w:pPr>
      <w:r>
        <w:rPr>
          <w:rFonts w:ascii="Times New Roman" w:cs="Times New Roman" w:eastAsia="Times New Roman" w:hAnsi="Times New Roman"/>
          <w:sz w:val="14"/>
          <w:szCs w:val="14"/>
          <w:color w:val="auto"/>
        </w:rPr>
        <w:t>The following provides a summary of certain terms of the New Notes. The New Notes have terms that are identical in all material respects to the terms of the Old Notes, except that the New Notes are registered with the SEC under the Securities Act and, as a result, will not bear any legend restricting their transfer, will bear a different CUSIP number from the Old Notes, and are generally not subject to transfer restrictions. Holders of the New Notes are not entitled to registration rights under the registration rights agreements and do not have the right to additional interest under the circumstances described in the registration rights agreements relating to our fulfillment of our registration obligations. The New Notes will evidence the same debt as the Old Notes and will be governed by the same indenture under which the Old Notes were issued. Please refer to the section entitled “</w:t>
      </w:r>
      <w:r>
        <w:rPr>
          <w:rFonts w:ascii="Times New Roman" w:cs="Times New Roman" w:eastAsia="Times New Roman" w:hAnsi="Times New Roman"/>
          <w:sz w:val="14"/>
          <w:szCs w:val="14"/>
          <w:i w:val="1"/>
          <w:iCs w:val="1"/>
          <w:color w:val="auto"/>
        </w:rPr>
        <w:t>Description of the Notes</w:t>
      </w:r>
      <w:r>
        <w:rPr>
          <w:rFonts w:ascii="Times New Roman" w:cs="Times New Roman" w:eastAsia="Times New Roman" w:hAnsi="Times New Roman"/>
          <w:sz w:val="14"/>
          <w:szCs w:val="14"/>
          <w:color w:val="auto"/>
        </w:rPr>
        <w:t>” beginning on page 31 for a more complete description of the terms of the New Notes. References in this prospectus to the “notes” include both the Old Notes and the New Notes unless otherwise specified or the context otherwise requires.</w:t>
      </w:r>
    </w:p>
    <w:p>
      <w:pPr>
        <w:sectPr>
          <w:pgSz w:w="11900" w:h="16838" w:orient="portrait"/>
          <w:cols w:equalWidth="0" w:num="1">
            <w:col w:w="11080"/>
          </w:cols>
          <w:pgMar w:left="400" w:top="751" w:right="419" w:bottom="1440" w:gutter="0" w:footer="0" w:header="0"/>
        </w:sectPr>
      </w:pP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Issuer</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Hanover Bancorp, Inc.</w:t>
      </w:r>
    </w:p>
    <w:p>
      <w:pPr>
        <w:spacing w:after="0" w:line="176" w:lineRule="exact"/>
        <w:rPr>
          <w:sz w:val="20"/>
          <w:szCs w:val="20"/>
          <w:color w:val="auto"/>
        </w:rPr>
      </w:pPr>
    </w:p>
    <w:p>
      <w:pPr>
        <w:sectPr>
          <w:pgSz w:w="11900" w:h="16838" w:orient="portrait"/>
          <w:cols w:equalWidth="0" w:num="2">
            <w:col w:w="3160" w:space="720"/>
            <w:col w:w="7200"/>
          </w:cols>
          <w:pgMar w:left="400" w:top="751" w:right="419" w:bottom="1440" w:gutter="0" w:footer="0" w:header="0"/>
          <w:type w:val="continuous"/>
        </w:sectPr>
      </w:pPr>
    </w:p>
    <w:p>
      <w:pPr>
        <w:spacing w:after="0"/>
        <w:rPr>
          <w:sz w:val="20"/>
          <w:szCs w:val="20"/>
          <w:color w:val="auto"/>
        </w:rPr>
      </w:pPr>
      <w:r>
        <w:rPr>
          <w:rFonts w:ascii="Times New Roman" w:cs="Times New Roman" w:eastAsia="Times New Roman" w:hAnsi="Times New Roman"/>
          <w:sz w:val="13"/>
          <w:szCs w:val="13"/>
          <w:b w:val="1"/>
          <w:bCs w:val="1"/>
          <w:color w:val="auto"/>
        </w:rPr>
        <w:t>Securities Offered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7.25% Fixed-to-Floating Rate Subordinated Notes due 2036.</w:t>
      </w:r>
    </w:p>
    <w:p>
      <w:pPr>
        <w:spacing w:after="0" w:line="176" w:lineRule="exact"/>
        <w:rPr>
          <w:sz w:val="20"/>
          <w:szCs w:val="20"/>
          <w:color w:val="auto"/>
        </w:rPr>
      </w:pPr>
    </w:p>
    <w:p>
      <w:pPr>
        <w:sectPr>
          <w:pgSz w:w="11900" w:h="16838" w:orient="portrait"/>
          <w:cols w:equalWidth="0" w:num="2">
            <w:col w:w="3160" w:space="720"/>
            <w:col w:w="7200"/>
          </w:cols>
          <w:pgMar w:left="400" w:top="751" w:right="419" w:bottom="1440" w:gutter="0" w:footer="0" w:header="0"/>
          <w:type w:val="continuous"/>
        </w:sectPr>
      </w:pPr>
    </w:p>
    <w:p>
      <w:pPr>
        <w:spacing w:after="0"/>
        <w:rPr>
          <w:sz w:val="20"/>
          <w:szCs w:val="20"/>
          <w:color w:val="auto"/>
        </w:rPr>
      </w:pPr>
      <w:r>
        <w:rPr>
          <w:rFonts w:ascii="Times New Roman" w:cs="Times New Roman" w:eastAsia="Times New Roman" w:hAnsi="Times New Roman"/>
          <w:sz w:val="13"/>
          <w:szCs w:val="13"/>
          <w:b w:val="1"/>
          <w:bCs w:val="1"/>
          <w:color w:val="auto"/>
        </w:rPr>
        <w:t>Aggregate Principal Amount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Up to $35,000,000.</w:t>
      </w:r>
    </w:p>
    <w:p>
      <w:pPr>
        <w:spacing w:after="0" w:line="176" w:lineRule="exact"/>
        <w:rPr>
          <w:sz w:val="20"/>
          <w:szCs w:val="20"/>
          <w:color w:val="auto"/>
        </w:rPr>
      </w:pPr>
    </w:p>
    <w:p>
      <w:pPr>
        <w:sectPr>
          <w:pgSz w:w="11900" w:h="16838" w:orient="portrait"/>
          <w:cols w:equalWidth="0" w:num="2">
            <w:col w:w="3160" w:space="720"/>
            <w:col w:w="7200"/>
          </w:cols>
          <w:pgMar w:left="400" w:top="751" w:right="419" w:bottom="1440" w:gutter="0" w:footer="0" w:header="0"/>
          <w:type w:val="continuous"/>
        </w:sectPr>
      </w:pPr>
    </w:p>
    <w:p>
      <w:pPr>
        <w:spacing w:after="0"/>
        <w:rPr>
          <w:sz w:val="20"/>
          <w:szCs w:val="20"/>
          <w:color w:val="auto"/>
        </w:rPr>
      </w:pPr>
      <w:r>
        <w:rPr>
          <w:rFonts w:ascii="Times New Roman" w:cs="Times New Roman" w:eastAsia="Times New Roman" w:hAnsi="Times New Roman"/>
          <w:sz w:val="13"/>
          <w:szCs w:val="13"/>
          <w:b w:val="1"/>
          <w:bCs w:val="1"/>
          <w:color w:val="auto"/>
        </w:rPr>
        <w:t>Maturity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March 15, 2036, unless previously redeemed.</w:t>
      </w:r>
    </w:p>
    <w:p>
      <w:pPr>
        <w:spacing w:after="0" w:line="176" w:lineRule="exact"/>
        <w:rPr>
          <w:sz w:val="20"/>
          <w:szCs w:val="20"/>
          <w:color w:val="auto"/>
        </w:rPr>
      </w:pPr>
    </w:p>
    <w:p>
      <w:pPr>
        <w:sectPr>
          <w:pgSz w:w="11900" w:h="16838" w:orient="portrait"/>
          <w:cols w:equalWidth="0" w:num="2">
            <w:col w:w="3160" w:space="720"/>
            <w:col w:w="7200"/>
          </w:cols>
          <w:pgMar w:left="400" w:top="751" w:right="419" w:bottom="1440" w:gutter="0" w:footer="0" w:header="0"/>
          <w:type w:val="continuous"/>
        </w:sectPr>
      </w:pPr>
    </w:p>
    <w:p>
      <w:pPr>
        <w:spacing w:after="0"/>
        <w:rPr>
          <w:sz w:val="20"/>
          <w:szCs w:val="20"/>
          <w:color w:val="auto"/>
        </w:rPr>
      </w:pPr>
      <w:r>
        <w:rPr>
          <w:rFonts w:ascii="Times New Roman" w:cs="Times New Roman" w:eastAsia="Times New Roman" w:hAnsi="Times New Roman"/>
          <w:sz w:val="13"/>
          <w:szCs w:val="13"/>
          <w:b w:val="1"/>
          <w:bCs w:val="1"/>
          <w:color w:val="auto"/>
        </w:rPr>
        <w:t>Form and Denomination</w:t>
      </w:r>
    </w:p>
    <w:p>
      <w:pPr>
        <w:spacing w:after="0" w:line="20" w:lineRule="exact"/>
        <w:rPr>
          <w:sz w:val="20"/>
          <w:szCs w:val="20"/>
          <w:color w:val="auto"/>
        </w:rPr>
      </w:pPr>
      <w:r>
        <w:rPr>
          <w:sz w:val="20"/>
          <w:szCs w:val="20"/>
          <w:color w:val="auto"/>
        </w:rPr>
        <w:br w:type="column"/>
      </w:r>
    </w:p>
    <w:p>
      <w:pPr>
        <w:ind w:right="60"/>
        <w:spacing w:after="0" w:line="254" w:lineRule="auto"/>
        <w:rPr>
          <w:sz w:val="20"/>
          <w:szCs w:val="20"/>
          <w:color w:val="auto"/>
        </w:rPr>
      </w:pPr>
      <w:r>
        <w:rPr>
          <w:rFonts w:ascii="Times New Roman" w:cs="Times New Roman" w:eastAsia="Times New Roman" w:hAnsi="Times New Roman"/>
          <w:sz w:val="14"/>
          <w:szCs w:val="14"/>
          <w:color w:val="auto"/>
        </w:rPr>
        <w:t>The New Notes will be issued only in fully registered form without interest coupons, in minimum denominations of $100,000 and any integral multiple of $1,000 in excess thereof. Unless otherwise required for institutional accredited investors, the New Notes will be evidenced by a global note deposited with the trustee for the New Notes, as custodian for DTC, and transfers of beneficial interests will be facilitated only through records maintained by DTC and its participants.</w:t>
      </w:r>
    </w:p>
    <w:p>
      <w:pPr>
        <w:spacing w:after="0" w:line="139" w:lineRule="exact"/>
        <w:rPr>
          <w:sz w:val="20"/>
          <w:szCs w:val="20"/>
          <w:color w:val="auto"/>
        </w:rPr>
      </w:pPr>
    </w:p>
    <w:p>
      <w:pPr>
        <w:sectPr>
          <w:pgSz w:w="11900" w:h="16838" w:orient="portrait"/>
          <w:cols w:equalWidth="0" w:num="2">
            <w:col w:w="3160" w:space="720"/>
            <w:col w:w="7200"/>
          </w:cols>
          <w:pgMar w:left="400" w:top="751" w:right="419" w:bottom="1440" w:gutter="0" w:footer="0" w:header="0"/>
          <w:type w:val="continuous"/>
        </w:sectPr>
      </w:pPr>
    </w:p>
    <w:p>
      <w:pPr>
        <w:spacing w:after="0" w:line="277" w:lineRule="auto"/>
        <w:rPr>
          <w:sz w:val="20"/>
          <w:szCs w:val="20"/>
          <w:color w:val="auto"/>
        </w:rPr>
      </w:pPr>
      <w:r>
        <w:rPr>
          <w:rFonts w:ascii="Times New Roman" w:cs="Times New Roman" w:eastAsia="Times New Roman" w:hAnsi="Times New Roman"/>
          <w:sz w:val="14"/>
          <w:szCs w:val="14"/>
          <w:b w:val="1"/>
          <w:bCs w:val="1"/>
          <w:color w:val="auto"/>
        </w:rPr>
        <w:t>Interest Rate and Interest Rate Payment Dates During Fixed-Rate Period</w:t>
      </w:r>
    </w:p>
    <w:p>
      <w:pPr>
        <w:spacing w:after="0" w:line="20" w:lineRule="exact"/>
        <w:rPr>
          <w:sz w:val="20"/>
          <w:szCs w:val="20"/>
          <w:color w:val="auto"/>
        </w:rPr>
      </w:pPr>
      <w:r>
        <w:rPr>
          <w:sz w:val="20"/>
          <w:szCs w:val="20"/>
          <w:color w:val="auto"/>
        </w:rPr>
        <w:br w:type="column"/>
      </w:r>
    </w:p>
    <w:p>
      <w:pPr>
        <w:ind w:right="200"/>
        <w:spacing w:after="0" w:line="258" w:lineRule="auto"/>
        <w:rPr>
          <w:sz w:val="20"/>
          <w:szCs w:val="20"/>
          <w:color w:val="auto"/>
        </w:rPr>
      </w:pPr>
      <w:r>
        <w:rPr>
          <w:rFonts w:ascii="Times New Roman" w:cs="Times New Roman" w:eastAsia="Times New Roman" w:hAnsi="Times New Roman"/>
          <w:sz w:val="14"/>
          <w:szCs w:val="14"/>
          <w:color w:val="auto"/>
        </w:rPr>
        <w:t>From and including March 12, 2026 to, but excluding, March 15, 2031 or any earlier redemption date, the New Notes will bear interest at a fixed rate equal to 7.25% per year, payable semi-annually in arrears on March 15 and September 15 of each year, commencing on September 15, 2026.</w:t>
      </w:r>
    </w:p>
    <w:p>
      <w:pPr>
        <w:spacing w:after="0" w:line="136" w:lineRule="exact"/>
        <w:rPr>
          <w:sz w:val="20"/>
          <w:szCs w:val="20"/>
          <w:color w:val="auto"/>
        </w:rPr>
      </w:pPr>
    </w:p>
    <w:p>
      <w:pPr>
        <w:sectPr>
          <w:pgSz w:w="11900" w:h="16838" w:orient="portrait"/>
          <w:cols w:equalWidth="0" w:num="2">
            <w:col w:w="3600" w:space="280"/>
            <w:col w:w="7200"/>
          </w:cols>
          <w:pgMar w:left="400" w:top="751" w:right="419" w:bottom="1440" w:gutter="0" w:footer="0" w:header="0"/>
          <w:type w:val="continuous"/>
        </w:sectPr>
      </w:pPr>
    </w:p>
    <w:p>
      <w:pPr>
        <w:spacing w:after="0"/>
        <w:tabs>
          <w:tab w:leader="none" w:pos="3860" w:val="left"/>
        </w:tabs>
        <w:rPr>
          <w:sz w:val="20"/>
          <w:szCs w:val="20"/>
          <w:color w:val="auto"/>
        </w:rPr>
      </w:pPr>
      <w:r>
        <w:rPr>
          <w:rFonts w:ascii="Times New Roman" w:cs="Times New Roman" w:eastAsia="Times New Roman" w:hAnsi="Times New Roman"/>
          <w:sz w:val="14"/>
          <w:szCs w:val="14"/>
          <w:b w:val="1"/>
          <w:bCs w:val="1"/>
          <w:color w:val="auto"/>
        </w:rPr>
        <w:t>Interest Rate and Interest Rate Payment Dates During Floating-</w:t>
      </w:r>
      <w:r>
        <w:rPr>
          <w:sz w:val="20"/>
          <w:szCs w:val="20"/>
          <w:color w:val="auto"/>
        </w:rPr>
        <w:tab/>
      </w:r>
      <w:r>
        <w:rPr>
          <w:rFonts w:ascii="Times New Roman" w:cs="Times New Roman" w:eastAsia="Times New Roman" w:hAnsi="Times New Roman"/>
          <w:sz w:val="13"/>
          <w:szCs w:val="13"/>
          <w:color w:val="auto"/>
        </w:rPr>
        <w:t>From, and including, March 15, 2031 to, but excluding, March 15, 2036, unless earlier redeemed (such period, the “floating rate</w:t>
      </w:r>
    </w:p>
    <w:p>
      <w:pPr>
        <w:spacing w:after="0" w:line="21" w:lineRule="exact"/>
        <w:rPr>
          <w:sz w:val="20"/>
          <w:szCs w:val="20"/>
          <w:color w:val="auto"/>
        </w:rPr>
      </w:pPr>
    </w:p>
    <w:p>
      <w:pPr>
        <w:ind w:left="3880" w:right="20" w:hanging="3884"/>
        <w:spacing w:after="0" w:line="247" w:lineRule="auto"/>
        <w:tabs>
          <w:tab w:leader="none" w:pos="3860" w:val="left"/>
        </w:tabs>
        <w:rPr>
          <w:sz w:val="20"/>
          <w:szCs w:val="20"/>
          <w:color w:val="auto"/>
        </w:rPr>
      </w:pPr>
      <w:r>
        <w:rPr>
          <w:rFonts w:ascii="Times New Roman" w:cs="Times New Roman" w:eastAsia="Times New Roman" w:hAnsi="Times New Roman"/>
          <w:sz w:val="14"/>
          <w:szCs w:val="14"/>
          <w:b w:val="1"/>
          <w:bCs w:val="1"/>
          <w:color w:val="auto"/>
        </w:rPr>
        <w:t>Rate Period</w:t>
      </w:r>
      <w:r>
        <w:rPr>
          <w:sz w:val="20"/>
          <w:szCs w:val="20"/>
          <w:color w:val="auto"/>
        </w:rPr>
        <w:tab/>
      </w:r>
      <w:r>
        <w:rPr>
          <w:rFonts w:ascii="Times New Roman" w:cs="Times New Roman" w:eastAsia="Times New Roman" w:hAnsi="Times New Roman"/>
          <w:sz w:val="14"/>
          <w:szCs w:val="14"/>
          <w:color w:val="auto"/>
        </w:rPr>
        <w:t>period”), the New Notes will bear an interest at a floating rate, reset quarterly, equal to the benchmark rate (which is expected to be the then-current Three-Month Term SOFR), plus 386 basis points, or such other rate as determined pursuant to the indenture, payable quarterly in arrears on March 15, June 15, September 15, and December 15 of each year through March 15, 2036 or earlier redemption date. If Three-Month Term SOFR (or other applicable floating interest rate) is less than zero, then Three-Month Term SOFR (or other such applicable floating interest rate) shall be deemed to be zero.</w:t>
      </w:r>
    </w:p>
    <w:p>
      <w:pPr>
        <w:spacing w:after="0" w:line="147" w:lineRule="exact"/>
        <w:rPr>
          <w:sz w:val="20"/>
          <w:szCs w:val="20"/>
          <w:color w:val="auto"/>
        </w:rPr>
      </w:pPr>
    </w:p>
    <w:p>
      <w:pPr>
        <w:ind w:left="3880" w:right="120"/>
        <w:spacing w:after="0" w:line="258" w:lineRule="auto"/>
        <w:rPr>
          <w:sz w:val="20"/>
          <w:szCs w:val="20"/>
          <w:color w:val="auto"/>
        </w:rPr>
      </w:pPr>
      <w:r>
        <w:rPr>
          <w:rFonts w:ascii="Times New Roman" w:cs="Times New Roman" w:eastAsia="Times New Roman" w:hAnsi="Times New Roman"/>
          <w:sz w:val="14"/>
          <w:szCs w:val="14"/>
          <w:color w:val="auto"/>
        </w:rPr>
        <w:t>For each interest period during the floating rate period, “Three-Month Term SOFR” means the rate for Term SOFR for a tenor of three months that is published by the Term SOFR Administrator at the Reference Time for any Floating Rate Interest Period, as determined by the calculation agent after giving effect to the Three-Month Term SOFR Conventions.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wp:posOffset>
            </wp:positionH>
            <wp:positionV relativeFrom="paragraph">
              <wp:posOffset>10795</wp:posOffset>
            </wp:positionV>
            <wp:extent cx="7164705" cy="63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080"/>
          </w:cols>
          <w:pgMar w:left="400" w:top="751" w:right="419" w:bottom="1440" w:gutter="0" w:footer="0" w:header="0"/>
          <w:type w:val="continuous"/>
        </w:sectPr>
      </w:pPr>
    </w:p>
    <w:bookmarkStart w:id="14" w:name="page15"/>
    <w:bookmarkEnd w:id="14"/>
    <w:tbl>
      <w:tblPr>
        <w:tblLayout w:type="fixed"/>
        <w:tblInd w:w="10" w:type="dxa"/>
        <w:tblCellMar>
          <w:top w:w="0" w:type="dxa"/>
          <w:left w:w="0" w:type="dxa"/>
          <w:bottom w:w="0" w:type="dxa"/>
          <w:right w:w="0" w:type="dxa"/>
        </w:tblCellMar>
      </w:tblPr>
      <w:tr>
        <w:trPr>
          <w:trHeight w:val="353"/>
        </w:trPr>
        <w:tc>
          <w:tcPr>
            <w:tcW w:w="2760" w:type="dxa"/>
            <w:vAlign w:val="bottom"/>
            <w:tcBorders>
              <w:top w:val="single" w:sz="8" w:color="auto"/>
              <w:left w:val="single" w:sz="8" w:color="auto"/>
            </w:tcBorders>
          </w:tcPr>
          <w:p>
            <w:pPr>
              <w:spacing w:after="0"/>
              <w:rPr>
                <w:sz w:val="24"/>
                <w:szCs w:val="24"/>
                <w:color w:val="auto"/>
              </w:rPr>
            </w:pPr>
          </w:p>
        </w:tc>
        <w:tc>
          <w:tcPr>
            <w:tcW w:w="8540" w:type="dxa"/>
            <w:vAlign w:val="bottom"/>
            <w:tcBorders>
              <w:top w:val="single" w:sz="8" w:color="auto"/>
              <w:right w:val="single" w:sz="8" w:color="auto"/>
            </w:tcBorders>
          </w:tcPr>
          <w:p>
            <w:pPr>
              <w:ind w:left="1220"/>
              <w:spacing w:after="0"/>
              <w:rPr>
                <w:sz w:val="20"/>
                <w:szCs w:val="20"/>
                <w:color w:val="auto"/>
              </w:rPr>
            </w:pPr>
            <w:r>
              <w:rPr>
                <w:rFonts w:ascii="Times New Roman" w:cs="Times New Roman" w:eastAsia="Times New Roman" w:hAnsi="Times New Roman"/>
                <w:sz w:val="14"/>
                <w:szCs w:val="14"/>
                <w:color w:val="auto"/>
              </w:rPr>
              <w:t>See the section entitled “</w:t>
            </w:r>
            <w:r>
              <w:rPr>
                <w:rFonts w:ascii="Times New Roman" w:cs="Times New Roman" w:eastAsia="Times New Roman" w:hAnsi="Times New Roman"/>
                <w:sz w:val="14"/>
                <w:szCs w:val="14"/>
                <w:i w:val="1"/>
                <w:iCs w:val="1"/>
                <w:color w:val="auto"/>
              </w:rPr>
              <w:t>Description of the Notes — Principal, Maturity and Interest</w:t>
            </w:r>
            <w:r>
              <w:rPr>
                <w:rFonts w:ascii="Times New Roman" w:cs="Times New Roman" w:eastAsia="Times New Roman" w:hAnsi="Times New Roman"/>
                <w:sz w:val="14"/>
                <w:szCs w:val="14"/>
                <w:color w:val="auto"/>
              </w:rPr>
              <w:t>” beginning on page 31 for the definition of</w:t>
            </w:r>
          </w:p>
        </w:tc>
      </w:tr>
      <w:tr>
        <w:trPr>
          <w:trHeight w:val="165"/>
        </w:trPr>
        <w:tc>
          <w:tcPr>
            <w:tcW w:w="2760" w:type="dxa"/>
            <w:vAlign w:val="bottom"/>
            <w:tcBorders>
              <w:left w:val="single" w:sz="8" w:color="auto"/>
            </w:tcBorders>
          </w:tcPr>
          <w:p>
            <w:pPr>
              <w:spacing w:after="0"/>
              <w:rPr>
                <w:sz w:val="14"/>
                <w:szCs w:val="14"/>
                <w:color w:val="auto"/>
              </w:rPr>
            </w:pPr>
          </w:p>
        </w:tc>
        <w:tc>
          <w:tcPr>
            <w:tcW w:w="8540" w:type="dxa"/>
            <w:vAlign w:val="bottom"/>
            <w:tcBorders>
              <w:right w:val="single" w:sz="8" w:color="auto"/>
            </w:tcBorders>
          </w:tcPr>
          <w:p>
            <w:pPr>
              <w:ind w:left="1220"/>
              <w:spacing w:after="0"/>
              <w:rPr>
                <w:sz w:val="20"/>
                <w:szCs w:val="20"/>
                <w:color w:val="auto"/>
              </w:rPr>
            </w:pPr>
            <w:r>
              <w:rPr>
                <w:rFonts w:ascii="Times New Roman" w:cs="Times New Roman" w:eastAsia="Times New Roman" w:hAnsi="Times New Roman"/>
                <w:sz w:val="14"/>
                <w:szCs w:val="14"/>
                <w:color w:val="auto"/>
              </w:rPr>
              <w:t>Three-Month Term SOFR, a description of the method of its determination, and the alternative methods for determining the</w:t>
            </w:r>
          </w:p>
        </w:tc>
      </w:tr>
      <w:tr>
        <w:trPr>
          <w:trHeight w:val="165"/>
        </w:trPr>
        <w:tc>
          <w:tcPr>
            <w:tcW w:w="2760" w:type="dxa"/>
            <w:vAlign w:val="bottom"/>
            <w:tcBorders>
              <w:left w:val="single" w:sz="8" w:color="auto"/>
            </w:tcBorders>
          </w:tcPr>
          <w:p>
            <w:pPr>
              <w:spacing w:after="0"/>
              <w:rPr>
                <w:sz w:val="14"/>
                <w:szCs w:val="14"/>
                <w:color w:val="auto"/>
              </w:rPr>
            </w:pPr>
          </w:p>
        </w:tc>
        <w:tc>
          <w:tcPr>
            <w:tcW w:w="8540" w:type="dxa"/>
            <w:vAlign w:val="bottom"/>
            <w:tcBorders>
              <w:right w:val="single" w:sz="8" w:color="auto"/>
            </w:tcBorders>
          </w:tcPr>
          <w:p>
            <w:pPr>
              <w:ind w:left="1220"/>
              <w:spacing w:after="0"/>
              <w:rPr>
                <w:sz w:val="20"/>
                <w:szCs w:val="20"/>
                <w:color w:val="auto"/>
              </w:rPr>
            </w:pPr>
            <w:r>
              <w:rPr>
                <w:rFonts w:ascii="Times New Roman" w:cs="Times New Roman" w:eastAsia="Times New Roman" w:hAnsi="Times New Roman"/>
                <w:sz w:val="14"/>
                <w:szCs w:val="14"/>
                <w:color w:val="auto"/>
                <w:w w:val="99"/>
              </w:rPr>
              <w:t>applicable floating interest rate for the notes to the extent that Three-Month Term SOFR is discontinued, is no longer quoted, or is</w:t>
            </w:r>
          </w:p>
        </w:tc>
      </w:tr>
      <w:tr>
        <w:trPr>
          <w:trHeight w:val="178"/>
        </w:trPr>
        <w:tc>
          <w:tcPr>
            <w:tcW w:w="2760" w:type="dxa"/>
            <w:vAlign w:val="bottom"/>
            <w:tcBorders>
              <w:left w:val="single" w:sz="8" w:color="auto"/>
            </w:tcBorders>
          </w:tcPr>
          <w:p>
            <w:pPr>
              <w:spacing w:after="0"/>
              <w:rPr>
                <w:sz w:val="15"/>
                <w:szCs w:val="15"/>
                <w:color w:val="auto"/>
              </w:rPr>
            </w:pPr>
          </w:p>
        </w:tc>
        <w:tc>
          <w:tcPr>
            <w:tcW w:w="8540" w:type="dxa"/>
            <w:vAlign w:val="bottom"/>
            <w:tcBorders>
              <w:right w:val="single" w:sz="8" w:color="auto"/>
            </w:tcBorders>
          </w:tcPr>
          <w:p>
            <w:pPr>
              <w:ind w:left="1220"/>
              <w:spacing w:after="0"/>
              <w:rPr>
                <w:sz w:val="20"/>
                <w:szCs w:val="20"/>
                <w:color w:val="auto"/>
              </w:rPr>
            </w:pPr>
            <w:r>
              <w:rPr>
                <w:rFonts w:ascii="Times New Roman" w:cs="Times New Roman" w:eastAsia="Times New Roman" w:hAnsi="Times New Roman"/>
                <w:sz w:val="14"/>
                <w:szCs w:val="14"/>
                <w:color w:val="auto"/>
              </w:rPr>
              <w:t>found by the regulatory supervisor of the administrator of the rate to be no longer representative.</w:t>
            </w:r>
          </w:p>
        </w:tc>
      </w:tr>
      <w:tr>
        <w:trPr>
          <w:trHeight w:val="337"/>
        </w:trPr>
        <w:tc>
          <w:tcPr>
            <w:tcW w:w="276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Day Count Convention</w:t>
            </w:r>
          </w:p>
        </w:tc>
        <w:tc>
          <w:tcPr>
            <w:tcW w:w="8540" w:type="dxa"/>
            <w:vAlign w:val="bottom"/>
            <w:tcBorders>
              <w:right w:val="single" w:sz="8" w:color="auto"/>
            </w:tcBorders>
          </w:tcPr>
          <w:p>
            <w:pPr>
              <w:ind w:left="1220"/>
              <w:spacing w:after="0"/>
              <w:rPr>
                <w:sz w:val="20"/>
                <w:szCs w:val="20"/>
                <w:color w:val="auto"/>
              </w:rPr>
            </w:pPr>
            <w:r>
              <w:rPr>
                <w:rFonts w:ascii="Times New Roman" w:cs="Times New Roman" w:eastAsia="Times New Roman" w:hAnsi="Times New Roman"/>
                <w:sz w:val="14"/>
                <w:szCs w:val="14"/>
                <w:color w:val="auto"/>
              </w:rPr>
              <w:t>30-day month/360-day year to but excluding March 15, 2031, and thereafter, a 360-day year and the number of days actually</w:t>
            </w:r>
          </w:p>
        </w:tc>
      </w:tr>
      <w:tr>
        <w:trPr>
          <w:trHeight w:val="178"/>
        </w:trPr>
        <w:tc>
          <w:tcPr>
            <w:tcW w:w="2760" w:type="dxa"/>
            <w:vAlign w:val="bottom"/>
            <w:tcBorders>
              <w:left w:val="single" w:sz="8" w:color="auto"/>
            </w:tcBorders>
          </w:tcPr>
          <w:p>
            <w:pPr>
              <w:spacing w:after="0"/>
              <w:rPr>
                <w:sz w:val="15"/>
                <w:szCs w:val="15"/>
                <w:color w:val="auto"/>
              </w:rPr>
            </w:pPr>
          </w:p>
        </w:tc>
        <w:tc>
          <w:tcPr>
            <w:tcW w:w="8540" w:type="dxa"/>
            <w:vAlign w:val="bottom"/>
            <w:tcBorders>
              <w:right w:val="single" w:sz="8" w:color="auto"/>
            </w:tcBorders>
          </w:tcPr>
          <w:p>
            <w:pPr>
              <w:ind w:left="1220"/>
              <w:spacing w:after="0"/>
              <w:rPr>
                <w:sz w:val="20"/>
                <w:szCs w:val="20"/>
                <w:color w:val="auto"/>
              </w:rPr>
            </w:pPr>
            <w:r>
              <w:rPr>
                <w:rFonts w:ascii="Times New Roman" w:cs="Times New Roman" w:eastAsia="Times New Roman" w:hAnsi="Times New Roman"/>
                <w:sz w:val="14"/>
                <w:szCs w:val="14"/>
                <w:color w:val="auto"/>
              </w:rPr>
              <w:t>elapsed.</w:t>
            </w:r>
          </w:p>
        </w:tc>
      </w:tr>
      <w:tr>
        <w:trPr>
          <w:trHeight w:val="316"/>
        </w:trPr>
        <w:tc>
          <w:tcPr>
            <w:tcW w:w="276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Record Dates</w:t>
            </w:r>
          </w:p>
        </w:tc>
        <w:tc>
          <w:tcPr>
            <w:tcW w:w="8540" w:type="dxa"/>
            <w:vAlign w:val="bottom"/>
            <w:tcBorders>
              <w:right w:val="single" w:sz="8" w:color="auto"/>
            </w:tcBorders>
          </w:tcPr>
          <w:p>
            <w:pPr>
              <w:ind w:left="1220"/>
              <w:spacing w:after="0"/>
              <w:rPr>
                <w:sz w:val="20"/>
                <w:szCs w:val="20"/>
                <w:color w:val="auto"/>
              </w:rPr>
            </w:pPr>
            <w:r>
              <w:rPr>
                <w:rFonts w:ascii="Times New Roman" w:cs="Times New Roman" w:eastAsia="Times New Roman" w:hAnsi="Times New Roman"/>
                <w:sz w:val="14"/>
                <w:szCs w:val="14"/>
                <w:color w:val="auto"/>
              </w:rPr>
              <w:t>Each interest payment will be made to the holders of record who held the New Notes at the close of business on the fifteenth</w:t>
            </w:r>
          </w:p>
        </w:tc>
      </w:tr>
      <w:tr>
        <w:trPr>
          <w:trHeight w:val="178"/>
        </w:trPr>
        <w:tc>
          <w:tcPr>
            <w:tcW w:w="2760" w:type="dxa"/>
            <w:vAlign w:val="bottom"/>
            <w:tcBorders>
              <w:left w:val="single" w:sz="8" w:color="auto"/>
            </w:tcBorders>
          </w:tcPr>
          <w:p>
            <w:pPr>
              <w:spacing w:after="0"/>
              <w:rPr>
                <w:sz w:val="15"/>
                <w:szCs w:val="15"/>
                <w:color w:val="auto"/>
              </w:rPr>
            </w:pPr>
          </w:p>
        </w:tc>
        <w:tc>
          <w:tcPr>
            <w:tcW w:w="8540" w:type="dxa"/>
            <w:vAlign w:val="bottom"/>
            <w:tcBorders>
              <w:right w:val="single" w:sz="8" w:color="auto"/>
            </w:tcBorders>
          </w:tcPr>
          <w:p>
            <w:pPr>
              <w:ind w:left="1220"/>
              <w:spacing w:after="0"/>
              <w:rPr>
                <w:sz w:val="20"/>
                <w:szCs w:val="20"/>
                <w:color w:val="auto"/>
              </w:rPr>
            </w:pPr>
            <w:r>
              <w:rPr>
                <w:rFonts w:ascii="Times New Roman" w:cs="Times New Roman" w:eastAsia="Times New Roman" w:hAnsi="Times New Roman"/>
                <w:sz w:val="14"/>
                <w:szCs w:val="14"/>
                <w:color w:val="auto"/>
              </w:rPr>
              <w:t>calendar day prior to the applicable interest payment date.</w:t>
            </w:r>
          </w:p>
        </w:tc>
      </w:tr>
      <w:tr>
        <w:trPr>
          <w:trHeight w:val="330"/>
        </w:trPr>
        <w:tc>
          <w:tcPr>
            <w:tcW w:w="276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Subordination; Ranking</w:t>
            </w:r>
          </w:p>
        </w:tc>
        <w:tc>
          <w:tcPr>
            <w:tcW w:w="8540" w:type="dxa"/>
            <w:vAlign w:val="bottom"/>
            <w:tcBorders>
              <w:right w:val="single" w:sz="8" w:color="auto"/>
            </w:tcBorders>
          </w:tcPr>
          <w:p>
            <w:pPr>
              <w:ind w:left="1220"/>
              <w:spacing w:after="0"/>
              <w:rPr>
                <w:sz w:val="20"/>
                <w:szCs w:val="20"/>
                <w:color w:val="auto"/>
              </w:rPr>
            </w:pPr>
            <w:r>
              <w:rPr>
                <w:rFonts w:ascii="Times New Roman" w:cs="Times New Roman" w:eastAsia="Times New Roman" w:hAnsi="Times New Roman"/>
                <w:sz w:val="14"/>
                <w:szCs w:val="14"/>
                <w:color w:val="auto"/>
              </w:rPr>
              <w:t>The New Notes will be our general unsecured, subordinated obligations and:</w:t>
            </w:r>
          </w:p>
        </w:tc>
      </w:tr>
      <w:tr>
        <w:trPr>
          <w:trHeight w:val="327"/>
        </w:trPr>
        <w:tc>
          <w:tcPr>
            <w:tcW w:w="2760" w:type="dxa"/>
            <w:vAlign w:val="bottom"/>
            <w:tcBorders>
              <w:left w:val="single" w:sz="8" w:color="auto"/>
            </w:tcBorders>
          </w:tcPr>
          <w:p>
            <w:pPr>
              <w:spacing w:after="0"/>
              <w:rPr>
                <w:sz w:val="24"/>
                <w:szCs w:val="24"/>
                <w:color w:val="auto"/>
              </w:rPr>
            </w:pPr>
          </w:p>
        </w:tc>
        <w:tc>
          <w:tcPr>
            <w:tcW w:w="8540" w:type="dxa"/>
            <w:vAlign w:val="bottom"/>
            <w:tcBorders>
              <w:right w:val="single" w:sz="8" w:color="auto"/>
            </w:tcBorders>
          </w:tcPr>
          <w:p>
            <w:pPr>
              <w:ind w:left="1480"/>
              <w:spacing w:after="0"/>
              <w:rPr>
                <w:sz w:val="20"/>
                <w:szCs w:val="20"/>
                <w:color w:val="auto"/>
              </w:rPr>
            </w:pPr>
            <w:r>
              <w:rPr>
                <w:rFonts w:ascii="Arial" w:cs="Arial" w:eastAsia="Arial" w:hAnsi="Arial"/>
                <w:sz w:val="14"/>
                <w:szCs w:val="14"/>
                <w:b w:val="1"/>
                <w:bCs w:val="1"/>
                <w:color w:val="auto"/>
              </w:rPr>
              <w:t>·</w:t>
            </w:r>
            <w:r>
              <w:rPr>
                <w:rFonts w:ascii="Times New Roman" w:cs="Times New Roman" w:eastAsia="Times New Roman" w:hAnsi="Times New Roman"/>
                <w:sz w:val="14"/>
                <w:szCs w:val="14"/>
                <w:color w:val="auto"/>
              </w:rPr>
              <w:t>      will rank subordinate and junior in right of payment to all of our existing and future senior indebtedness (as defined</w:t>
            </w:r>
          </w:p>
        </w:tc>
      </w:tr>
      <w:tr>
        <w:trPr>
          <w:trHeight w:val="178"/>
        </w:trPr>
        <w:tc>
          <w:tcPr>
            <w:tcW w:w="2760" w:type="dxa"/>
            <w:vAlign w:val="bottom"/>
            <w:tcBorders>
              <w:left w:val="single" w:sz="8" w:color="auto"/>
            </w:tcBorders>
          </w:tcPr>
          <w:p>
            <w:pPr>
              <w:spacing w:after="0"/>
              <w:rPr>
                <w:sz w:val="15"/>
                <w:szCs w:val="15"/>
                <w:color w:val="auto"/>
              </w:rPr>
            </w:pPr>
          </w:p>
        </w:tc>
        <w:tc>
          <w:tcPr>
            <w:tcW w:w="8540" w:type="dxa"/>
            <w:vAlign w:val="bottom"/>
            <w:tcBorders>
              <w:right w:val="single" w:sz="8" w:color="auto"/>
            </w:tcBorders>
          </w:tcPr>
          <w:p>
            <w:pPr>
              <w:ind w:left="1720"/>
              <w:spacing w:after="0"/>
              <w:rPr>
                <w:sz w:val="20"/>
                <w:szCs w:val="20"/>
                <w:color w:val="auto"/>
              </w:rPr>
            </w:pPr>
            <w:r>
              <w:rPr>
                <w:rFonts w:ascii="Times New Roman" w:cs="Times New Roman" w:eastAsia="Times New Roman" w:hAnsi="Times New Roman"/>
                <w:sz w:val="14"/>
                <w:szCs w:val="14"/>
                <w:color w:val="auto"/>
              </w:rPr>
              <w:t>herein);</w:t>
            </w:r>
          </w:p>
        </w:tc>
      </w:tr>
      <w:tr>
        <w:trPr>
          <w:trHeight w:val="340"/>
        </w:trPr>
        <w:tc>
          <w:tcPr>
            <w:tcW w:w="2760" w:type="dxa"/>
            <w:vAlign w:val="bottom"/>
            <w:tcBorders>
              <w:left w:val="single" w:sz="8" w:color="auto"/>
            </w:tcBorders>
          </w:tcPr>
          <w:p>
            <w:pPr>
              <w:spacing w:after="0"/>
              <w:rPr>
                <w:sz w:val="24"/>
                <w:szCs w:val="24"/>
                <w:color w:val="auto"/>
              </w:rPr>
            </w:pPr>
          </w:p>
        </w:tc>
        <w:tc>
          <w:tcPr>
            <w:tcW w:w="8540" w:type="dxa"/>
            <w:vAlign w:val="bottom"/>
            <w:tcBorders>
              <w:right w:val="single" w:sz="8" w:color="auto"/>
            </w:tcBorders>
          </w:tcPr>
          <w:p>
            <w:pPr>
              <w:ind w:left="1480"/>
              <w:spacing w:after="0"/>
              <w:rPr>
                <w:sz w:val="20"/>
                <w:szCs w:val="20"/>
                <w:color w:val="auto"/>
              </w:rPr>
            </w:pPr>
            <w:r>
              <w:rPr>
                <w:rFonts w:ascii="Arial" w:cs="Arial" w:eastAsia="Arial" w:hAnsi="Arial"/>
                <w:sz w:val="14"/>
                <w:szCs w:val="14"/>
                <w:b w:val="1"/>
                <w:bCs w:val="1"/>
                <w:color w:val="auto"/>
              </w:rPr>
              <w:t>·</w:t>
            </w:r>
            <w:r>
              <w:rPr>
                <w:rFonts w:ascii="Times New Roman" w:cs="Times New Roman" w:eastAsia="Times New Roman" w:hAnsi="Times New Roman"/>
                <w:sz w:val="14"/>
                <w:szCs w:val="14"/>
                <w:color w:val="auto"/>
              </w:rPr>
              <w:t>      will rank equally in right of payment with all of our existing and future unsecured subordinated indebtedness; and</w:t>
            </w:r>
          </w:p>
        </w:tc>
      </w:tr>
      <w:tr>
        <w:trPr>
          <w:trHeight w:val="327"/>
        </w:trPr>
        <w:tc>
          <w:tcPr>
            <w:tcW w:w="2760" w:type="dxa"/>
            <w:vAlign w:val="bottom"/>
            <w:tcBorders>
              <w:left w:val="single" w:sz="8" w:color="auto"/>
            </w:tcBorders>
          </w:tcPr>
          <w:p>
            <w:pPr>
              <w:spacing w:after="0"/>
              <w:rPr>
                <w:sz w:val="24"/>
                <w:szCs w:val="24"/>
                <w:color w:val="auto"/>
              </w:rPr>
            </w:pPr>
          </w:p>
        </w:tc>
        <w:tc>
          <w:tcPr>
            <w:tcW w:w="8540" w:type="dxa"/>
            <w:vAlign w:val="bottom"/>
            <w:tcBorders>
              <w:right w:val="single" w:sz="8" w:color="auto"/>
            </w:tcBorders>
          </w:tcPr>
          <w:p>
            <w:pPr>
              <w:ind w:left="1480"/>
              <w:spacing w:after="0"/>
              <w:rPr>
                <w:sz w:val="20"/>
                <w:szCs w:val="20"/>
                <w:color w:val="auto"/>
              </w:rPr>
            </w:pPr>
            <w:r>
              <w:rPr>
                <w:rFonts w:ascii="Arial" w:cs="Arial" w:eastAsia="Arial" w:hAnsi="Arial"/>
                <w:sz w:val="14"/>
                <w:szCs w:val="14"/>
                <w:b w:val="1"/>
                <w:bCs w:val="1"/>
                <w:color w:val="auto"/>
              </w:rPr>
              <w:t>·</w:t>
            </w:r>
            <w:r>
              <w:rPr>
                <w:rFonts w:ascii="Times New Roman" w:cs="Times New Roman" w:eastAsia="Times New Roman" w:hAnsi="Times New Roman"/>
                <w:sz w:val="14"/>
                <w:szCs w:val="14"/>
                <w:color w:val="auto"/>
              </w:rPr>
              <w:t>      will be effectively subordinated (for the reasons discussed below) to all of the existing and future indebtedness, liabilities</w:t>
            </w:r>
          </w:p>
        </w:tc>
      </w:tr>
      <w:tr>
        <w:trPr>
          <w:trHeight w:val="165"/>
        </w:trPr>
        <w:tc>
          <w:tcPr>
            <w:tcW w:w="2760" w:type="dxa"/>
            <w:vAlign w:val="bottom"/>
            <w:tcBorders>
              <w:left w:val="single" w:sz="8" w:color="auto"/>
            </w:tcBorders>
          </w:tcPr>
          <w:p>
            <w:pPr>
              <w:spacing w:after="0"/>
              <w:rPr>
                <w:sz w:val="14"/>
                <w:szCs w:val="14"/>
                <w:color w:val="auto"/>
              </w:rPr>
            </w:pPr>
          </w:p>
        </w:tc>
        <w:tc>
          <w:tcPr>
            <w:tcW w:w="8540" w:type="dxa"/>
            <w:vAlign w:val="bottom"/>
            <w:tcBorders>
              <w:right w:val="single" w:sz="8" w:color="auto"/>
            </w:tcBorders>
          </w:tcPr>
          <w:p>
            <w:pPr>
              <w:ind w:left="1720"/>
              <w:spacing w:after="0"/>
              <w:rPr>
                <w:sz w:val="20"/>
                <w:szCs w:val="20"/>
                <w:color w:val="auto"/>
              </w:rPr>
            </w:pPr>
            <w:r>
              <w:rPr>
                <w:rFonts w:ascii="Times New Roman" w:cs="Times New Roman" w:eastAsia="Times New Roman" w:hAnsi="Times New Roman"/>
                <w:sz w:val="14"/>
                <w:szCs w:val="14"/>
                <w:color w:val="auto"/>
              </w:rPr>
              <w:t>and other obligations of the Bank and any future subsidiaries, including without limitation the Bank’s deposit liabilities</w:t>
            </w:r>
          </w:p>
        </w:tc>
      </w:tr>
      <w:tr>
        <w:trPr>
          <w:trHeight w:val="178"/>
        </w:trPr>
        <w:tc>
          <w:tcPr>
            <w:tcW w:w="2760" w:type="dxa"/>
            <w:vAlign w:val="bottom"/>
            <w:tcBorders>
              <w:left w:val="single" w:sz="8" w:color="auto"/>
            </w:tcBorders>
          </w:tcPr>
          <w:p>
            <w:pPr>
              <w:spacing w:after="0"/>
              <w:rPr>
                <w:sz w:val="15"/>
                <w:szCs w:val="15"/>
                <w:color w:val="auto"/>
              </w:rPr>
            </w:pPr>
          </w:p>
        </w:tc>
        <w:tc>
          <w:tcPr>
            <w:tcW w:w="8540" w:type="dxa"/>
            <w:vAlign w:val="bottom"/>
            <w:tcBorders>
              <w:right w:val="single" w:sz="8" w:color="auto"/>
            </w:tcBorders>
          </w:tcPr>
          <w:p>
            <w:pPr>
              <w:ind w:left="1720"/>
              <w:spacing w:after="0"/>
              <w:rPr>
                <w:sz w:val="20"/>
                <w:szCs w:val="20"/>
                <w:color w:val="auto"/>
              </w:rPr>
            </w:pPr>
            <w:r>
              <w:rPr>
                <w:rFonts w:ascii="Times New Roman" w:cs="Times New Roman" w:eastAsia="Times New Roman" w:hAnsi="Times New Roman"/>
                <w:sz w:val="14"/>
                <w:szCs w:val="14"/>
                <w:color w:val="auto"/>
              </w:rPr>
              <w:t>and claims of other creditors of the Bank.</w:t>
            </w:r>
          </w:p>
        </w:tc>
      </w:tr>
      <w:tr>
        <w:trPr>
          <w:trHeight w:val="316"/>
        </w:trPr>
        <w:tc>
          <w:tcPr>
            <w:tcW w:w="276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Optional Redemption</w:t>
            </w:r>
          </w:p>
        </w:tc>
        <w:tc>
          <w:tcPr>
            <w:tcW w:w="8540" w:type="dxa"/>
            <w:vAlign w:val="bottom"/>
            <w:tcBorders>
              <w:right w:val="single" w:sz="8" w:color="auto"/>
            </w:tcBorders>
          </w:tcPr>
          <w:p>
            <w:pPr>
              <w:ind w:left="1220"/>
              <w:spacing w:after="0"/>
              <w:rPr>
                <w:sz w:val="20"/>
                <w:szCs w:val="20"/>
                <w:color w:val="auto"/>
              </w:rPr>
            </w:pPr>
            <w:r>
              <w:rPr>
                <w:rFonts w:ascii="Times New Roman" w:cs="Times New Roman" w:eastAsia="Times New Roman" w:hAnsi="Times New Roman"/>
                <w:sz w:val="14"/>
                <w:szCs w:val="14"/>
                <w:color w:val="auto"/>
              </w:rPr>
              <w:t>We may, at our option, redeem the New Notes (i) on any interest payment date on or after March 15, 2031, in whole or in part,</w:t>
            </w:r>
          </w:p>
        </w:tc>
      </w:tr>
      <w:tr>
        <w:trPr>
          <w:trHeight w:val="161"/>
        </w:trPr>
        <w:tc>
          <w:tcPr>
            <w:tcW w:w="2760" w:type="dxa"/>
            <w:vAlign w:val="bottom"/>
            <w:tcBorders>
              <w:left w:val="single" w:sz="8" w:color="auto"/>
            </w:tcBorders>
          </w:tcPr>
          <w:p>
            <w:pPr>
              <w:spacing w:after="0"/>
              <w:rPr>
                <w:sz w:val="13"/>
                <w:szCs w:val="13"/>
                <w:color w:val="auto"/>
              </w:rPr>
            </w:pPr>
          </w:p>
        </w:tc>
        <w:tc>
          <w:tcPr>
            <w:tcW w:w="8540" w:type="dxa"/>
            <w:vAlign w:val="bottom"/>
            <w:tcBorders>
              <w:right w:val="single" w:sz="8" w:color="auto"/>
            </w:tcBorders>
          </w:tcPr>
          <w:p>
            <w:pPr>
              <w:ind w:left="1220"/>
              <w:spacing w:after="0"/>
              <w:rPr>
                <w:sz w:val="20"/>
                <w:szCs w:val="20"/>
                <w:color w:val="auto"/>
              </w:rPr>
            </w:pPr>
            <w:r>
              <w:rPr>
                <w:rFonts w:ascii="Times New Roman" w:cs="Times New Roman" w:eastAsia="Times New Roman" w:hAnsi="Times New Roman"/>
                <w:sz w:val="14"/>
                <w:szCs w:val="14"/>
                <w:color w:val="auto"/>
                <w:w w:val="99"/>
              </w:rPr>
              <w:t>without premium or penalty, and (ii) in whole but not in part, at any time upon the occurrence of a Tier 2 Capital Event, Tax Event</w:t>
            </w:r>
          </w:p>
        </w:tc>
      </w:tr>
      <w:tr>
        <w:trPr>
          <w:trHeight w:val="169"/>
        </w:trPr>
        <w:tc>
          <w:tcPr>
            <w:tcW w:w="2760" w:type="dxa"/>
            <w:vAlign w:val="bottom"/>
            <w:tcBorders>
              <w:left w:val="single" w:sz="8" w:color="auto"/>
            </w:tcBorders>
          </w:tcPr>
          <w:p>
            <w:pPr>
              <w:spacing w:after="0"/>
              <w:rPr>
                <w:sz w:val="14"/>
                <w:szCs w:val="14"/>
                <w:color w:val="auto"/>
              </w:rPr>
            </w:pPr>
          </w:p>
        </w:tc>
        <w:tc>
          <w:tcPr>
            <w:tcW w:w="8540" w:type="dxa"/>
            <w:vAlign w:val="bottom"/>
            <w:tcBorders>
              <w:right w:val="single" w:sz="8" w:color="auto"/>
            </w:tcBorders>
          </w:tcPr>
          <w:p>
            <w:pPr>
              <w:ind w:left="1220"/>
              <w:spacing w:after="0"/>
              <w:rPr>
                <w:sz w:val="20"/>
                <w:szCs w:val="20"/>
                <w:color w:val="auto"/>
              </w:rPr>
            </w:pPr>
            <w:r>
              <w:rPr>
                <w:rFonts w:ascii="Times New Roman" w:cs="Times New Roman" w:eastAsia="Times New Roman" w:hAnsi="Times New Roman"/>
                <w:sz w:val="14"/>
                <w:szCs w:val="14"/>
                <w:color w:val="auto"/>
                <w:w w:val="99"/>
              </w:rPr>
              <w:t>or an Investment Company Event (each as described in the section entitled “</w:t>
            </w:r>
            <w:r>
              <w:rPr>
                <w:rFonts w:ascii="Times New Roman" w:cs="Times New Roman" w:eastAsia="Times New Roman" w:hAnsi="Times New Roman"/>
                <w:sz w:val="14"/>
                <w:szCs w:val="14"/>
                <w:i w:val="1"/>
                <w:iCs w:val="1"/>
                <w:color w:val="auto"/>
                <w:w w:val="99"/>
              </w:rPr>
              <w:t>Description of the Notes — Redemption</w:t>
            </w:r>
            <w:r>
              <w:rPr>
                <w:rFonts w:ascii="Times New Roman" w:cs="Times New Roman" w:eastAsia="Times New Roman" w:hAnsi="Times New Roman"/>
                <w:sz w:val="14"/>
                <w:szCs w:val="14"/>
                <w:color w:val="auto"/>
                <w:w w:val="99"/>
              </w:rPr>
              <w:t>” beginning on</w:t>
            </w:r>
          </w:p>
        </w:tc>
      </w:tr>
      <w:tr>
        <w:trPr>
          <w:trHeight w:val="178"/>
        </w:trPr>
        <w:tc>
          <w:tcPr>
            <w:tcW w:w="2760" w:type="dxa"/>
            <w:vAlign w:val="bottom"/>
            <w:tcBorders>
              <w:left w:val="single" w:sz="8" w:color="auto"/>
            </w:tcBorders>
          </w:tcPr>
          <w:p>
            <w:pPr>
              <w:spacing w:after="0"/>
              <w:rPr>
                <w:sz w:val="15"/>
                <w:szCs w:val="15"/>
                <w:color w:val="auto"/>
              </w:rPr>
            </w:pPr>
          </w:p>
        </w:tc>
        <w:tc>
          <w:tcPr>
            <w:tcW w:w="8540" w:type="dxa"/>
            <w:vAlign w:val="bottom"/>
            <w:tcBorders>
              <w:right w:val="single" w:sz="8" w:color="auto"/>
            </w:tcBorders>
          </w:tcPr>
          <w:p>
            <w:pPr>
              <w:ind w:left="1220"/>
              <w:spacing w:after="0"/>
              <w:rPr>
                <w:sz w:val="20"/>
                <w:szCs w:val="20"/>
                <w:color w:val="auto"/>
              </w:rPr>
            </w:pPr>
            <w:r>
              <w:rPr>
                <w:rFonts w:ascii="Times New Roman" w:cs="Times New Roman" w:eastAsia="Times New Roman" w:hAnsi="Times New Roman"/>
                <w:sz w:val="14"/>
                <w:szCs w:val="14"/>
                <w:color w:val="auto"/>
              </w:rPr>
              <w:t>page 38).</w:t>
            </w:r>
          </w:p>
        </w:tc>
      </w:tr>
      <w:tr>
        <w:trPr>
          <w:trHeight w:val="316"/>
        </w:trPr>
        <w:tc>
          <w:tcPr>
            <w:tcW w:w="2760" w:type="dxa"/>
            <w:vAlign w:val="bottom"/>
            <w:tcBorders>
              <w:left w:val="single" w:sz="8" w:color="auto"/>
            </w:tcBorders>
          </w:tcPr>
          <w:p>
            <w:pPr>
              <w:spacing w:after="0"/>
              <w:rPr>
                <w:sz w:val="24"/>
                <w:szCs w:val="24"/>
                <w:color w:val="auto"/>
              </w:rPr>
            </w:pPr>
          </w:p>
        </w:tc>
        <w:tc>
          <w:tcPr>
            <w:tcW w:w="8540" w:type="dxa"/>
            <w:vAlign w:val="bottom"/>
            <w:tcBorders>
              <w:right w:val="single" w:sz="8" w:color="auto"/>
            </w:tcBorders>
          </w:tcPr>
          <w:p>
            <w:pPr>
              <w:ind w:left="1220"/>
              <w:spacing w:after="0"/>
              <w:rPr>
                <w:sz w:val="20"/>
                <w:szCs w:val="20"/>
                <w:color w:val="auto"/>
              </w:rPr>
            </w:pPr>
            <w:r>
              <w:rPr>
                <w:rFonts w:ascii="Times New Roman" w:cs="Times New Roman" w:eastAsia="Times New Roman" w:hAnsi="Times New Roman"/>
                <w:sz w:val="14"/>
                <w:szCs w:val="14"/>
                <w:color w:val="auto"/>
              </w:rPr>
              <w:t>Any redemption of the New Notes will be subject to prior approval of the Board of Governors of the Federal Reserve System (the</w:t>
            </w:r>
          </w:p>
        </w:tc>
      </w:tr>
      <w:tr>
        <w:trPr>
          <w:trHeight w:val="165"/>
        </w:trPr>
        <w:tc>
          <w:tcPr>
            <w:tcW w:w="2760" w:type="dxa"/>
            <w:vAlign w:val="bottom"/>
            <w:tcBorders>
              <w:left w:val="single" w:sz="8" w:color="auto"/>
            </w:tcBorders>
          </w:tcPr>
          <w:p>
            <w:pPr>
              <w:spacing w:after="0"/>
              <w:rPr>
                <w:sz w:val="14"/>
                <w:szCs w:val="14"/>
                <w:color w:val="auto"/>
              </w:rPr>
            </w:pPr>
          </w:p>
        </w:tc>
        <w:tc>
          <w:tcPr>
            <w:tcW w:w="8540" w:type="dxa"/>
            <w:vAlign w:val="bottom"/>
            <w:tcBorders>
              <w:right w:val="single" w:sz="8" w:color="auto"/>
            </w:tcBorders>
          </w:tcPr>
          <w:p>
            <w:pPr>
              <w:ind w:left="1220"/>
              <w:spacing w:after="0"/>
              <w:rPr>
                <w:sz w:val="20"/>
                <w:szCs w:val="20"/>
                <w:color w:val="auto"/>
              </w:rPr>
            </w:pPr>
            <w:r>
              <w:rPr>
                <w:rFonts w:ascii="Times New Roman" w:cs="Times New Roman" w:eastAsia="Times New Roman" w:hAnsi="Times New Roman"/>
                <w:sz w:val="14"/>
                <w:szCs w:val="14"/>
                <w:color w:val="auto"/>
              </w:rPr>
              <w:t>“Federal Reserve”), to the extent such approval is then required. Any redemption of the New Notes will be at a redemption price</w:t>
            </w:r>
          </w:p>
        </w:tc>
      </w:tr>
      <w:tr>
        <w:trPr>
          <w:trHeight w:val="165"/>
        </w:trPr>
        <w:tc>
          <w:tcPr>
            <w:tcW w:w="2760" w:type="dxa"/>
            <w:vAlign w:val="bottom"/>
            <w:tcBorders>
              <w:left w:val="single" w:sz="8" w:color="auto"/>
            </w:tcBorders>
          </w:tcPr>
          <w:p>
            <w:pPr>
              <w:spacing w:after="0"/>
              <w:rPr>
                <w:sz w:val="14"/>
                <w:szCs w:val="14"/>
                <w:color w:val="auto"/>
              </w:rPr>
            </w:pPr>
          </w:p>
        </w:tc>
        <w:tc>
          <w:tcPr>
            <w:tcW w:w="8540" w:type="dxa"/>
            <w:vAlign w:val="bottom"/>
            <w:tcBorders>
              <w:right w:val="single" w:sz="8" w:color="auto"/>
            </w:tcBorders>
          </w:tcPr>
          <w:p>
            <w:pPr>
              <w:ind w:left="1220"/>
              <w:spacing w:after="0"/>
              <w:rPr>
                <w:sz w:val="20"/>
                <w:szCs w:val="20"/>
                <w:color w:val="auto"/>
              </w:rPr>
            </w:pPr>
            <w:r>
              <w:rPr>
                <w:rFonts w:ascii="Times New Roman" w:cs="Times New Roman" w:eastAsia="Times New Roman" w:hAnsi="Times New Roman"/>
                <w:sz w:val="14"/>
                <w:szCs w:val="14"/>
                <w:color w:val="auto"/>
              </w:rPr>
              <w:t>equal to 100% of the principal amount of the New Notes being redeemed plus accrued and unpaid interest to, but excluding, the</w:t>
            </w:r>
          </w:p>
        </w:tc>
      </w:tr>
      <w:tr>
        <w:trPr>
          <w:trHeight w:val="178"/>
        </w:trPr>
        <w:tc>
          <w:tcPr>
            <w:tcW w:w="2760" w:type="dxa"/>
            <w:vAlign w:val="bottom"/>
            <w:tcBorders>
              <w:left w:val="single" w:sz="8" w:color="auto"/>
            </w:tcBorders>
          </w:tcPr>
          <w:p>
            <w:pPr>
              <w:spacing w:after="0"/>
              <w:rPr>
                <w:sz w:val="15"/>
                <w:szCs w:val="15"/>
                <w:color w:val="auto"/>
              </w:rPr>
            </w:pPr>
          </w:p>
        </w:tc>
        <w:tc>
          <w:tcPr>
            <w:tcW w:w="8540" w:type="dxa"/>
            <w:vAlign w:val="bottom"/>
            <w:tcBorders>
              <w:right w:val="single" w:sz="8" w:color="auto"/>
            </w:tcBorders>
          </w:tcPr>
          <w:p>
            <w:pPr>
              <w:ind w:left="1220"/>
              <w:spacing w:after="0"/>
              <w:rPr>
                <w:sz w:val="20"/>
                <w:szCs w:val="20"/>
                <w:color w:val="auto"/>
              </w:rPr>
            </w:pPr>
            <w:r>
              <w:rPr>
                <w:rFonts w:ascii="Times New Roman" w:cs="Times New Roman" w:eastAsia="Times New Roman" w:hAnsi="Times New Roman"/>
                <w:sz w:val="14"/>
                <w:szCs w:val="14"/>
                <w:color w:val="auto"/>
              </w:rPr>
              <w:t>date of redemption.</w:t>
            </w:r>
          </w:p>
        </w:tc>
      </w:tr>
      <w:tr>
        <w:trPr>
          <w:trHeight w:val="330"/>
        </w:trPr>
        <w:tc>
          <w:tcPr>
            <w:tcW w:w="2760" w:type="dxa"/>
            <w:vAlign w:val="bottom"/>
            <w:tcBorders>
              <w:left w:val="single" w:sz="8" w:color="auto"/>
            </w:tcBorders>
          </w:tcPr>
          <w:p>
            <w:pPr>
              <w:spacing w:after="0"/>
              <w:rPr>
                <w:sz w:val="24"/>
                <w:szCs w:val="24"/>
                <w:color w:val="auto"/>
              </w:rPr>
            </w:pPr>
          </w:p>
        </w:tc>
        <w:tc>
          <w:tcPr>
            <w:tcW w:w="8540" w:type="dxa"/>
            <w:vAlign w:val="bottom"/>
            <w:tcBorders>
              <w:right w:val="single" w:sz="8" w:color="auto"/>
            </w:tcBorders>
          </w:tcPr>
          <w:p>
            <w:pPr>
              <w:ind w:left="1220"/>
              <w:spacing w:after="0"/>
              <w:rPr>
                <w:sz w:val="20"/>
                <w:szCs w:val="20"/>
                <w:color w:val="auto"/>
              </w:rPr>
            </w:pPr>
            <w:r>
              <w:rPr>
                <w:rFonts w:ascii="Times New Roman" w:cs="Times New Roman" w:eastAsia="Times New Roman" w:hAnsi="Times New Roman"/>
                <w:sz w:val="14"/>
                <w:szCs w:val="14"/>
                <w:color w:val="auto"/>
              </w:rPr>
              <w:t>The New Notes are not subject to repayment at the option of the holders and there is no sinking fund for the New Notes.</w:t>
            </w:r>
          </w:p>
        </w:tc>
      </w:tr>
      <w:tr>
        <w:trPr>
          <w:trHeight w:val="190"/>
        </w:trPr>
        <w:tc>
          <w:tcPr>
            <w:tcW w:w="2760" w:type="dxa"/>
            <w:vAlign w:val="bottom"/>
            <w:tcBorders>
              <w:left w:val="single" w:sz="8" w:color="auto"/>
              <w:bottom w:val="single" w:sz="8" w:color="auto"/>
            </w:tcBorders>
          </w:tcPr>
          <w:p>
            <w:pPr>
              <w:spacing w:after="0"/>
              <w:rPr>
                <w:sz w:val="16"/>
                <w:szCs w:val="16"/>
                <w:color w:val="auto"/>
              </w:rPr>
            </w:pPr>
          </w:p>
        </w:tc>
        <w:tc>
          <w:tcPr>
            <w:tcW w:w="8540" w:type="dxa"/>
            <w:vAlign w:val="bottom"/>
            <w:tcBorders>
              <w:bottom w:val="single" w:sz="8" w:color="auto"/>
              <w:right w:val="single" w:sz="8" w:color="auto"/>
            </w:tcBorders>
          </w:tcPr>
          <w:p>
            <w:pPr>
              <w:spacing w:after="0"/>
              <w:rPr>
                <w:sz w:val="16"/>
                <w:szCs w:val="16"/>
                <w:color w:val="auto"/>
              </w:rPr>
            </w:pPr>
          </w:p>
        </w:tc>
      </w:tr>
      <w:tr>
        <w:trPr>
          <w:trHeight w:val="325"/>
        </w:trPr>
        <w:tc>
          <w:tcPr>
            <w:tcW w:w="2760" w:type="dxa"/>
            <w:vAlign w:val="bottom"/>
            <w:tcBorders>
              <w:bottom w:val="single" w:sz="8" w:color="auto"/>
            </w:tcBorders>
          </w:tcPr>
          <w:p>
            <w:pPr>
              <w:spacing w:after="0"/>
              <w:rPr>
                <w:sz w:val="24"/>
                <w:szCs w:val="24"/>
                <w:color w:val="auto"/>
              </w:rPr>
            </w:pPr>
          </w:p>
        </w:tc>
        <w:tc>
          <w:tcPr>
            <w:tcW w:w="8540" w:type="dxa"/>
            <w:vAlign w:val="bottom"/>
            <w:tcBorders>
              <w:bottom w:val="single" w:sz="8" w:color="auto"/>
            </w:tcBorders>
          </w:tcPr>
          <w:p>
            <w:pPr>
              <w:ind w:left="2820"/>
              <w:spacing w:after="0"/>
              <w:rPr>
                <w:sz w:val="20"/>
                <w:szCs w:val="20"/>
                <w:color w:val="auto"/>
              </w:rPr>
            </w:pPr>
            <w:r>
              <w:rPr>
                <w:rFonts w:ascii="Times New Roman" w:cs="Times New Roman" w:eastAsia="Times New Roman" w:hAnsi="Times New Roman"/>
                <w:sz w:val="14"/>
                <w:szCs w:val="14"/>
                <w:color w:val="auto"/>
              </w:rPr>
              <w:t>11</w:t>
            </w:r>
          </w:p>
        </w:tc>
      </w:tr>
    </w:tbl>
    <w:p>
      <w:pPr>
        <w:sectPr>
          <w:pgSz w:w="11900" w:h="16838" w:orient="portrait"/>
          <w:cols w:equalWidth="0" w:num="1">
            <w:col w:w="11300"/>
          </w:cols>
          <w:pgMar w:left="300" w:top="547" w:right="299" w:bottom="1440" w:gutter="0" w:footer="0" w:header="0"/>
        </w:sectPr>
      </w:pPr>
    </w:p>
    <w:bookmarkStart w:id="15" w:name="page16"/>
    <w:bookmarkEnd w:id="1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53"/>
        </w:trPr>
        <w:tc>
          <w:tcPr>
            <w:tcW w:w="2980" w:type="dxa"/>
            <w:vAlign w:val="bottom"/>
            <w:tcBorders>
              <w:top w:val="single" w:sz="8" w:color="auto"/>
              <w:left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No Limitations on Indebtedness</w:t>
            </w:r>
          </w:p>
        </w:tc>
        <w:tc>
          <w:tcPr>
            <w:tcW w:w="8320" w:type="dxa"/>
            <w:vAlign w:val="bottom"/>
            <w:tcBorders>
              <w:top w:val="single" w:sz="8" w:color="auto"/>
              <w:right w:val="single" w:sz="8" w:color="auto"/>
            </w:tcBorders>
          </w:tcPr>
          <w:p>
            <w:pPr>
              <w:ind w:left="1000"/>
              <w:spacing w:after="0"/>
              <w:rPr>
                <w:sz w:val="20"/>
                <w:szCs w:val="20"/>
                <w:color w:val="auto"/>
              </w:rPr>
            </w:pPr>
            <w:r>
              <w:rPr>
                <w:rFonts w:ascii="Times New Roman" w:cs="Times New Roman" w:eastAsia="Times New Roman" w:hAnsi="Times New Roman"/>
                <w:sz w:val="14"/>
                <w:szCs w:val="14"/>
                <w:color w:val="auto"/>
              </w:rPr>
              <w:t>The terms of the New Notes do not limit the amount of additional indebtedness the Company, the Bank or any of our future</w:t>
            </w:r>
          </w:p>
        </w:tc>
      </w:tr>
      <w:tr>
        <w:trPr>
          <w:trHeight w:val="178"/>
        </w:trPr>
        <w:tc>
          <w:tcPr>
            <w:tcW w:w="2980" w:type="dxa"/>
            <w:vAlign w:val="bottom"/>
            <w:tcBorders>
              <w:left w:val="single" w:sz="8" w:color="auto"/>
            </w:tcBorders>
          </w:tcPr>
          <w:p>
            <w:pPr>
              <w:spacing w:after="0"/>
              <w:rPr>
                <w:sz w:val="15"/>
                <w:szCs w:val="15"/>
                <w:color w:val="auto"/>
              </w:rPr>
            </w:pPr>
          </w:p>
        </w:tc>
        <w:tc>
          <w:tcPr>
            <w:tcW w:w="832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4"/>
                <w:szCs w:val="14"/>
                <w:color w:val="auto"/>
              </w:rPr>
              <w:t>subsidiaries may incur or the amount of other obligations ranking senior or equal to the New Notes that we may incur.</w:t>
            </w:r>
          </w:p>
        </w:tc>
      </w:tr>
      <w:tr>
        <w:trPr>
          <w:trHeight w:val="316"/>
        </w:trPr>
        <w:tc>
          <w:tcPr>
            <w:tcW w:w="298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Limited Indenture Covenants</w:t>
            </w:r>
          </w:p>
        </w:tc>
        <w:tc>
          <w:tcPr>
            <w:tcW w:w="832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4"/>
                <w:szCs w:val="14"/>
                <w:color w:val="auto"/>
              </w:rPr>
              <w:t>The indenture governing the New Notes contains no financial covenants requiring us to achieve or maintain any minimum</w:t>
            </w:r>
          </w:p>
        </w:tc>
      </w:tr>
      <w:tr>
        <w:trPr>
          <w:trHeight w:val="165"/>
        </w:trPr>
        <w:tc>
          <w:tcPr>
            <w:tcW w:w="2980" w:type="dxa"/>
            <w:vAlign w:val="bottom"/>
            <w:tcBorders>
              <w:left w:val="single" w:sz="8" w:color="auto"/>
            </w:tcBorders>
          </w:tcPr>
          <w:p>
            <w:pPr>
              <w:spacing w:after="0"/>
              <w:rPr>
                <w:sz w:val="14"/>
                <w:szCs w:val="14"/>
                <w:color w:val="auto"/>
              </w:rPr>
            </w:pPr>
          </w:p>
        </w:tc>
        <w:tc>
          <w:tcPr>
            <w:tcW w:w="832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4"/>
                <w:szCs w:val="14"/>
                <w:color w:val="auto"/>
                <w:w w:val="99"/>
              </w:rPr>
              <w:t>financial results relating to our financial position or results of operations or meet or exceed any financial ratios as a general matter</w:t>
            </w:r>
          </w:p>
        </w:tc>
      </w:tr>
      <w:tr>
        <w:trPr>
          <w:trHeight w:val="178"/>
        </w:trPr>
        <w:tc>
          <w:tcPr>
            <w:tcW w:w="2980" w:type="dxa"/>
            <w:vAlign w:val="bottom"/>
            <w:tcBorders>
              <w:left w:val="single" w:sz="8" w:color="auto"/>
            </w:tcBorders>
          </w:tcPr>
          <w:p>
            <w:pPr>
              <w:spacing w:after="0"/>
              <w:rPr>
                <w:sz w:val="15"/>
                <w:szCs w:val="15"/>
                <w:color w:val="auto"/>
              </w:rPr>
            </w:pPr>
          </w:p>
        </w:tc>
        <w:tc>
          <w:tcPr>
            <w:tcW w:w="832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4"/>
                <w:szCs w:val="14"/>
                <w:color w:val="auto"/>
              </w:rPr>
              <w:t>or in order to incur additional indebtedness or obligations or to maintain any reserves.</w:t>
            </w:r>
          </w:p>
        </w:tc>
      </w:tr>
      <w:tr>
        <w:trPr>
          <w:trHeight w:val="316"/>
        </w:trPr>
        <w:tc>
          <w:tcPr>
            <w:tcW w:w="2980" w:type="dxa"/>
            <w:vAlign w:val="bottom"/>
            <w:tcBorders>
              <w:left w:val="single" w:sz="8" w:color="auto"/>
            </w:tcBorders>
          </w:tcPr>
          <w:p>
            <w:pPr>
              <w:spacing w:after="0"/>
              <w:rPr>
                <w:sz w:val="24"/>
                <w:szCs w:val="24"/>
                <w:color w:val="auto"/>
              </w:rPr>
            </w:pPr>
          </w:p>
        </w:tc>
        <w:tc>
          <w:tcPr>
            <w:tcW w:w="832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4"/>
                <w:szCs w:val="14"/>
                <w:color w:val="auto"/>
              </w:rPr>
              <w:t>Moreover, neither the indenture nor the New Notes contain any covenants prohibiting us from, or limiting our right to, grant liens</w:t>
            </w:r>
          </w:p>
        </w:tc>
      </w:tr>
      <w:tr>
        <w:trPr>
          <w:trHeight w:val="165"/>
        </w:trPr>
        <w:tc>
          <w:tcPr>
            <w:tcW w:w="2980" w:type="dxa"/>
            <w:vAlign w:val="bottom"/>
            <w:tcBorders>
              <w:left w:val="single" w:sz="8" w:color="auto"/>
            </w:tcBorders>
          </w:tcPr>
          <w:p>
            <w:pPr>
              <w:spacing w:after="0"/>
              <w:rPr>
                <w:sz w:val="14"/>
                <w:szCs w:val="14"/>
                <w:color w:val="auto"/>
              </w:rPr>
            </w:pPr>
          </w:p>
        </w:tc>
        <w:tc>
          <w:tcPr>
            <w:tcW w:w="832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4"/>
                <w:szCs w:val="14"/>
                <w:color w:val="auto"/>
              </w:rPr>
              <w:t>on our assets to secure our indebtedness or other obligations that are senior in right of payment to the New Notes, to repurchase</w:t>
            </w:r>
          </w:p>
        </w:tc>
      </w:tr>
      <w:tr>
        <w:trPr>
          <w:trHeight w:val="165"/>
        </w:trPr>
        <w:tc>
          <w:tcPr>
            <w:tcW w:w="2980" w:type="dxa"/>
            <w:vAlign w:val="bottom"/>
            <w:tcBorders>
              <w:left w:val="single" w:sz="8" w:color="auto"/>
            </w:tcBorders>
          </w:tcPr>
          <w:p>
            <w:pPr>
              <w:spacing w:after="0"/>
              <w:rPr>
                <w:sz w:val="14"/>
                <w:szCs w:val="14"/>
                <w:color w:val="auto"/>
              </w:rPr>
            </w:pPr>
          </w:p>
        </w:tc>
        <w:tc>
          <w:tcPr>
            <w:tcW w:w="832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4"/>
                <w:szCs w:val="14"/>
                <w:color w:val="auto"/>
              </w:rPr>
              <w:t>our stock or other securities, including any of the New Notes, or to pay dividends or make other distributions to our shareholders</w:t>
            </w:r>
          </w:p>
        </w:tc>
      </w:tr>
      <w:tr>
        <w:trPr>
          <w:trHeight w:val="165"/>
        </w:trPr>
        <w:tc>
          <w:tcPr>
            <w:tcW w:w="2980" w:type="dxa"/>
            <w:vAlign w:val="bottom"/>
            <w:tcBorders>
              <w:left w:val="single" w:sz="8" w:color="auto"/>
            </w:tcBorders>
          </w:tcPr>
          <w:p>
            <w:pPr>
              <w:spacing w:after="0"/>
              <w:rPr>
                <w:sz w:val="14"/>
                <w:szCs w:val="14"/>
                <w:color w:val="auto"/>
              </w:rPr>
            </w:pPr>
          </w:p>
        </w:tc>
        <w:tc>
          <w:tcPr>
            <w:tcW w:w="832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4"/>
                <w:szCs w:val="14"/>
                <w:color w:val="auto"/>
              </w:rPr>
              <w:t>(except, in the case of dividends or other distributions on junior securities, upon our failure to timely pay the principal of or</w:t>
            </w:r>
          </w:p>
        </w:tc>
      </w:tr>
      <w:tr>
        <w:trPr>
          <w:trHeight w:val="178"/>
        </w:trPr>
        <w:tc>
          <w:tcPr>
            <w:tcW w:w="2980" w:type="dxa"/>
            <w:vAlign w:val="bottom"/>
            <w:tcBorders>
              <w:left w:val="single" w:sz="8" w:color="auto"/>
            </w:tcBorders>
          </w:tcPr>
          <w:p>
            <w:pPr>
              <w:spacing w:after="0"/>
              <w:rPr>
                <w:sz w:val="15"/>
                <w:szCs w:val="15"/>
                <w:color w:val="auto"/>
              </w:rPr>
            </w:pPr>
          </w:p>
        </w:tc>
        <w:tc>
          <w:tcPr>
            <w:tcW w:w="832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4"/>
                <w:szCs w:val="14"/>
                <w:color w:val="auto"/>
              </w:rPr>
              <w:t>interest on the New Notes, when the same becomes due and payable).</w:t>
            </w:r>
          </w:p>
        </w:tc>
      </w:tr>
      <w:tr>
        <w:trPr>
          <w:trHeight w:val="316"/>
        </w:trPr>
        <w:tc>
          <w:tcPr>
            <w:tcW w:w="298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Listing; No Public Market</w:t>
            </w:r>
          </w:p>
        </w:tc>
        <w:tc>
          <w:tcPr>
            <w:tcW w:w="832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4"/>
                <w:szCs w:val="14"/>
                <w:color w:val="auto"/>
              </w:rPr>
              <w:t>The New Notes are a new issue of securities with no established trading market and we do not expect any public market to</w:t>
            </w:r>
          </w:p>
        </w:tc>
      </w:tr>
      <w:tr>
        <w:trPr>
          <w:trHeight w:val="165"/>
        </w:trPr>
        <w:tc>
          <w:tcPr>
            <w:tcW w:w="2980" w:type="dxa"/>
            <w:vAlign w:val="bottom"/>
            <w:tcBorders>
              <w:left w:val="single" w:sz="8" w:color="auto"/>
            </w:tcBorders>
          </w:tcPr>
          <w:p>
            <w:pPr>
              <w:spacing w:after="0"/>
              <w:rPr>
                <w:sz w:val="14"/>
                <w:szCs w:val="14"/>
                <w:color w:val="auto"/>
              </w:rPr>
            </w:pPr>
          </w:p>
        </w:tc>
        <w:tc>
          <w:tcPr>
            <w:tcW w:w="832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4"/>
                <w:szCs w:val="14"/>
                <w:color w:val="auto"/>
              </w:rPr>
              <w:t>develop in the future for the New Notes. We do not intend to list the New Notes on any national securities exchange or quotation</w:t>
            </w:r>
          </w:p>
        </w:tc>
      </w:tr>
      <w:tr>
        <w:trPr>
          <w:trHeight w:val="178"/>
        </w:trPr>
        <w:tc>
          <w:tcPr>
            <w:tcW w:w="2980" w:type="dxa"/>
            <w:vAlign w:val="bottom"/>
            <w:tcBorders>
              <w:left w:val="single" w:sz="8" w:color="auto"/>
            </w:tcBorders>
          </w:tcPr>
          <w:p>
            <w:pPr>
              <w:spacing w:after="0"/>
              <w:rPr>
                <w:sz w:val="15"/>
                <w:szCs w:val="15"/>
                <w:color w:val="auto"/>
              </w:rPr>
            </w:pPr>
          </w:p>
        </w:tc>
        <w:tc>
          <w:tcPr>
            <w:tcW w:w="832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4"/>
                <w:szCs w:val="14"/>
                <w:color w:val="auto"/>
              </w:rPr>
              <w:t>system.</w:t>
            </w:r>
          </w:p>
        </w:tc>
      </w:tr>
      <w:tr>
        <w:trPr>
          <w:trHeight w:val="316"/>
        </w:trPr>
        <w:tc>
          <w:tcPr>
            <w:tcW w:w="298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Risk Factors</w:t>
            </w:r>
          </w:p>
        </w:tc>
        <w:tc>
          <w:tcPr>
            <w:tcW w:w="832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4"/>
                <w:szCs w:val="14"/>
                <w:color w:val="auto"/>
              </w:rPr>
              <w:t>See the section entitled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beginning on page 13 of this prospectus, as well as in our reports filed with the SEC, and</w:t>
            </w:r>
          </w:p>
        </w:tc>
      </w:tr>
      <w:tr>
        <w:trPr>
          <w:trHeight w:val="165"/>
        </w:trPr>
        <w:tc>
          <w:tcPr>
            <w:tcW w:w="2980" w:type="dxa"/>
            <w:vAlign w:val="bottom"/>
            <w:tcBorders>
              <w:left w:val="single" w:sz="8" w:color="auto"/>
            </w:tcBorders>
          </w:tcPr>
          <w:p>
            <w:pPr>
              <w:spacing w:after="0"/>
              <w:rPr>
                <w:sz w:val="14"/>
                <w:szCs w:val="14"/>
                <w:color w:val="auto"/>
              </w:rPr>
            </w:pPr>
          </w:p>
        </w:tc>
        <w:tc>
          <w:tcPr>
            <w:tcW w:w="832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4"/>
                <w:szCs w:val="14"/>
                <w:color w:val="auto"/>
                <w:w w:val="99"/>
              </w:rPr>
              <w:t>other information included or incorporated by reference in this prospectus for a discussion of factors you should consider carefully</w:t>
            </w:r>
          </w:p>
        </w:tc>
      </w:tr>
      <w:tr>
        <w:trPr>
          <w:trHeight w:val="178"/>
        </w:trPr>
        <w:tc>
          <w:tcPr>
            <w:tcW w:w="2980" w:type="dxa"/>
            <w:vAlign w:val="bottom"/>
            <w:tcBorders>
              <w:left w:val="single" w:sz="8" w:color="auto"/>
            </w:tcBorders>
          </w:tcPr>
          <w:p>
            <w:pPr>
              <w:spacing w:after="0"/>
              <w:rPr>
                <w:sz w:val="15"/>
                <w:szCs w:val="15"/>
                <w:color w:val="auto"/>
              </w:rPr>
            </w:pPr>
          </w:p>
        </w:tc>
        <w:tc>
          <w:tcPr>
            <w:tcW w:w="832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4"/>
                <w:szCs w:val="14"/>
                <w:color w:val="auto"/>
              </w:rPr>
              <w:t>before deciding to participate in the exchange offer.</w:t>
            </w:r>
          </w:p>
        </w:tc>
      </w:tr>
      <w:tr>
        <w:trPr>
          <w:trHeight w:val="330"/>
        </w:trPr>
        <w:tc>
          <w:tcPr>
            <w:tcW w:w="298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Trustee</w:t>
            </w:r>
          </w:p>
        </w:tc>
        <w:tc>
          <w:tcPr>
            <w:tcW w:w="832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4"/>
                <w:szCs w:val="14"/>
                <w:color w:val="auto"/>
              </w:rPr>
              <w:t>UMB Bank, N.A., or successor if replaced in accordance with the applicable provisions of the indenture.</w:t>
            </w:r>
          </w:p>
        </w:tc>
      </w:tr>
      <w:tr>
        <w:trPr>
          <w:trHeight w:val="330"/>
        </w:trPr>
        <w:tc>
          <w:tcPr>
            <w:tcW w:w="298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Governing Law</w:t>
            </w:r>
          </w:p>
        </w:tc>
        <w:tc>
          <w:tcPr>
            <w:tcW w:w="832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4"/>
                <w:szCs w:val="14"/>
                <w:color w:val="auto"/>
              </w:rPr>
              <w:t>The indenture and the New Notes will be governed by and construed in accordance with the laws of the State of New York.</w:t>
            </w:r>
          </w:p>
        </w:tc>
      </w:tr>
      <w:tr>
        <w:trPr>
          <w:trHeight w:val="190"/>
        </w:trPr>
        <w:tc>
          <w:tcPr>
            <w:tcW w:w="2980" w:type="dxa"/>
            <w:vAlign w:val="bottom"/>
            <w:tcBorders>
              <w:left w:val="single" w:sz="8" w:color="auto"/>
              <w:bottom w:val="single" w:sz="8" w:color="auto"/>
            </w:tcBorders>
          </w:tcPr>
          <w:p>
            <w:pPr>
              <w:spacing w:after="0"/>
              <w:rPr>
                <w:sz w:val="16"/>
                <w:szCs w:val="16"/>
                <w:color w:val="auto"/>
              </w:rPr>
            </w:pPr>
          </w:p>
        </w:tc>
        <w:tc>
          <w:tcPr>
            <w:tcW w:w="8320" w:type="dxa"/>
            <w:vAlign w:val="bottom"/>
            <w:tcBorders>
              <w:bottom w:val="single" w:sz="8" w:color="auto"/>
              <w:right w:val="single" w:sz="8" w:color="auto"/>
            </w:tcBorders>
          </w:tcPr>
          <w:p>
            <w:pPr>
              <w:spacing w:after="0"/>
              <w:rPr>
                <w:sz w:val="16"/>
                <w:szCs w:val="16"/>
                <w:color w:val="auto"/>
              </w:rPr>
            </w:pPr>
          </w:p>
        </w:tc>
      </w:tr>
      <w:tr>
        <w:trPr>
          <w:trHeight w:val="325"/>
        </w:trPr>
        <w:tc>
          <w:tcPr>
            <w:tcW w:w="2980" w:type="dxa"/>
            <w:vAlign w:val="bottom"/>
            <w:tcBorders>
              <w:bottom w:val="single" w:sz="8" w:color="auto"/>
            </w:tcBorders>
          </w:tcPr>
          <w:p>
            <w:pPr>
              <w:spacing w:after="0"/>
              <w:rPr>
                <w:sz w:val="24"/>
                <w:szCs w:val="24"/>
                <w:color w:val="auto"/>
              </w:rPr>
            </w:pPr>
          </w:p>
        </w:tc>
        <w:tc>
          <w:tcPr>
            <w:tcW w:w="8320" w:type="dxa"/>
            <w:vAlign w:val="bottom"/>
            <w:tcBorders>
              <w:bottom w:val="single" w:sz="8" w:color="auto"/>
            </w:tcBorders>
          </w:tcPr>
          <w:p>
            <w:pPr>
              <w:ind w:left="2600"/>
              <w:spacing w:after="0"/>
              <w:rPr>
                <w:sz w:val="20"/>
                <w:szCs w:val="20"/>
                <w:color w:val="auto"/>
              </w:rPr>
            </w:pPr>
            <w:r>
              <w:rPr>
                <w:rFonts w:ascii="Times New Roman" w:cs="Times New Roman" w:eastAsia="Times New Roman" w:hAnsi="Times New Roman"/>
                <w:sz w:val="14"/>
                <w:szCs w:val="14"/>
                <w:color w:val="auto"/>
              </w:rPr>
              <w:t>12</w:t>
            </w:r>
          </w:p>
        </w:tc>
      </w:tr>
    </w:tbl>
    <w:p>
      <w:pPr>
        <w:sectPr>
          <w:pgSz w:w="11900" w:h="16838" w:orient="portrait"/>
          <w:cols w:equalWidth="0" w:num="1">
            <w:col w:w="11300"/>
          </w:cols>
          <w:pgMar w:left="300" w:top="547" w:right="299" w:bottom="1440"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69" w:lineRule="exact"/>
        <w:rPr>
          <w:sz w:val="20"/>
          <w:szCs w:val="20"/>
          <w:color w:val="auto"/>
        </w:rPr>
      </w:pPr>
    </w:p>
    <w:p>
      <w:pPr>
        <w:ind w:right="60" w:firstLine="495"/>
        <w:spacing w:after="0" w:line="252" w:lineRule="auto"/>
        <w:rPr>
          <w:rFonts w:ascii="Times New Roman" w:cs="Times New Roman" w:eastAsia="Times New Roman" w:hAnsi="Times New Roman"/>
          <w:sz w:val="14"/>
          <w:szCs w:val="14"/>
          <w:i w:val="1"/>
          <w:iCs w:val="1"/>
          <w:color w:val="0000EE"/>
        </w:rPr>
      </w:pPr>
      <w:r>
        <w:rPr>
          <w:rFonts w:ascii="Times New Roman" w:cs="Times New Roman" w:eastAsia="Times New Roman" w:hAnsi="Times New Roman"/>
          <w:sz w:val="14"/>
          <w:szCs w:val="14"/>
          <w:i w:val="1"/>
          <w:iCs w:val="1"/>
          <w:color w:val="auto"/>
        </w:rPr>
        <w:t xml:space="preserve">In consultation with your own advisors, you should carefully consider, among other matters, the factors set forth below as well as the other information included or incorporated by reference in this prospectus before deciding whether to participate in the exchange offer. In particular, you should carefully consider, among other things, the factors described under the caption “Risk Factors” in our </w:t>
      </w:r>
      <w:hyperlink r:id="rId22">
        <w:r>
          <w:rPr>
            <w:rFonts w:ascii="Times New Roman" w:cs="Times New Roman" w:eastAsia="Times New Roman" w:hAnsi="Times New Roman"/>
            <w:sz w:val="14"/>
            <w:szCs w:val="14"/>
            <w:i w:val="1"/>
            <w:iCs w:val="1"/>
            <w:u w:val="single" w:color="auto"/>
            <w:color w:val="0000EE"/>
          </w:rPr>
          <w:t>Annual Report on Form 10-K for the year ended December 31, 2025</w:t>
        </w:r>
      </w:hyperlink>
      <w:r>
        <w:rPr>
          <w:rFonts w:ascii="Times New Roman" w:cs="Times New Roman" w:eastAsia="Times New Roman" w:hAnsi="Times New Roman"/>
          <w:sz w:val="14"/>
          <w:szCs w:val="14"/>
          <w:i w:val="1"/>
          <w:iCs w:val="1"/>
          <w:color w:val="000000"/>
        </w:rPr>
        <w:t>,</w:t>
      </w:r>
      <w:r>
        <w:rPr>
          <w:rFonts w:ascii="Times New Roman" w:cs="Times New Roman" w:eastAsia="Times New Roman" w:hAnsi="Times New Roman"/>
          <w:sz w:val="14"/>
          <w:szCs w:val="14"/>
          <w:i w:val="1"/>
          <w:iCs w:val="1"/>
          <w:color w:val="0000EE"/>
        </w:rPr>
        <w:t xml:space="preserve"> </w:t>
      </w:r>
      <w:r>
        <w:rPr>
          <w:rFonts w:ascii="Times New Roman" w:cs="Times New Roman" w:eastAsia="Times New Roman" w:hAnsi="Times New Roman"/>
          <w:sz w:val="14"/>
          <w:szCs w:val="14"/>
          <w:i w:val="1"/>
          <w:iCs w:val="1"/>
          <w:color w:val="000000"/>
        </w:rPr>
        <w:t>which is incorporated herein by reference. If any of the risks contained in or incorporated by reference into this prospectus develop</w:t>
      </w:r>
      <w:r>
        <w:rPr>
          <w:rFonts w:ascii="Times New Roman" w:cs="Times New Roman" w:eastAsia="Times New Roman" w:hAnsi="Times New Roman"/>
          <w:sz w:val="14"/>
          <w:szCs w:val="14"/>
          <w:i w:val="1"/>
          <w:iCs w:val="1"/>
          <w:color w:val="0000EE"/>
        </w:rPr>
        <w:t xml:space="preserve"> </w:t>
      </w:r>
      <w:r>
        <w:rPr>
          <w:rFonts w:ascii="Times New Roman" w:cs="Times New Roman" w:eastAsia="Times New Roman" w:hAnsi="Times New Roman"/>
          <w:sz w:val="14"/>
          <w:szCs w:val="14"/>
          <w:i w:val="1"/>
          <w:iCs w:val="1"/>
          <w:color w:val="000000"/>
        </w:rPr>
        <w:t>into actual events, our business, financial condition, liquidity, results of operations and prospects could be materially and adversely affected, the value of the New Notes could decline, our ability to repay the New Notes may be impaired, and you may lose all or part of your investment. Some statements in this prospectus, including statements in the following risk factors, constitute forward-looking statements. See the section entitled “Cautionary Note Regarding Forward-Looking Statements” beginning on page 4.</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Business</w:t>
      </w:r>
    </w:p>
    <w:p>
      <w:pPr>
        <w:spacing w:after="0" w:line="173" w:lineRule="exact"/>
        <w:rPr>
          <w:sz w:val="20"/>
          <w:szCs w:val="20"/>
          <w:color w:val="auto"/>
        </w:rPr>
      </w:pPr>
    </w:p>
    <w:p>
      <w:pPr>
        <w:ind w:right="260" w:firstLine="495"/>
        <w:spacing w:after="0" w:line="271" w:lineRule="auto"/>
        <w:rPr>
          <w:sz w:val="20"/>
          <w:szCs w:val="20"/>
          <w:color w:val="auto"/>
        </w:rPr>
      </w:pPr>
      <w:r>
        <w:rPr>
          <w:rFonts w:ascii="Times New Roman" w:cs="Times New Roman" w:eastAsia="Times New Roman" w:hAnsi="Times New Roman"/>
          <w:sz w:val="14"/>
          <w:szCs w:val="14"/>
          <w:color w:val="auto"/>
        </w:rPr>
        <w:t>For a discussion of certain risks applicable to our business and operations, please refer to the section entitled “Risk Factors” in Part I, Item 1A of our Annual Report on Form 10-K for the year ended December 31, 2025.</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the Exchange Offer</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you do not validly tender your Old Notes, you will continue to hold unregistered Old Notes and your ability to transfer Old Notes will be limited.</w:t>
      </w:r>
    </w:p>
    <w:p>
      <w:pPr>
        <w:spacing w:after="0" w:line="173" w:lineRule="exact"/>
        <w:rPr>
          <w:sz w:val="20"/>
          <w:szCs w:val="20"/>
          <w:color w:val="auto"/>
        </w:rPr>
      </w:pPr>
    </w:p>
    <w:p>
      <w:pPr>
        <w:jc w:val="both"/>
        <w:ind w:right="320" w:firstLine="495"/>
        <w:spacing w:after="0" w:line="258" w:lineRule="auto"/>
        <w:rPr>
          <w:sz w:val="20"/>
          <w:szCs w:val="20"/>
          <w:color w:val="auto"/>
        </w:rPr>
      </w:pPr>
      <w:r>
        <w:rPr>
          <w:rFonts w:ascii="Times New Roman" w:cs="Times New Roman" w:eastAsia="Times New Roman" w:hAnsi="Times New Roman"/>
          <w:sz w:val="14"/>
          <w:szCs w:val="14"/>
          <w:color w:val="auto"/>
        </w:rPr>
        <w:t>We will only issue New Notes in exchange for Old Notes that you timely and validly tender in accordance with the terms of the exchange offer. Therefore, you should allow sufficient time to ensure timely delivery of the Old Notes and you should carefully follow the instructions on how to tender your Old Notes. Neither we nor the exchange agent are required to tell you of any defects or irregularities with respect to your tender of Old Notes. See the section entitled “</w:t>
      </w:r>
      <w:r>
        <w:rPr>
          <w:rFonts w:ascii="Times New Roman" w:cs="Times New Roman" w:eastAsia="Times New Roman" w:hAnsi="Times New Roman"/>
          <w:sz w:val="14"/>
          <w:szCs w:val="14"/>
          <w:i w:val="1"/>
          <w:iCs w:val="1"/>
          <w:color w:val="auto"/>
        </w:rPr>
        <w:t>The Exchange Offer — Procedures for Tendering Old Notes</w:t>
      </w:r>
      <w:r>
        <w:rPr>
          <w:rFonts w:ascii="Times New Roman" w:cs="Times New Roman" w:eastAsia="Times New Roman" w:hAnsi="Times New Roman"/>
          <w:sz w:val="14"/>
          <w:szCs w:val="14"/>
          <w:color w:val="auto"/>
        </w:rPr>
        <w:t>” beginning on page 25.</w:t>
      </w:r>
    </w:p>
    <w:p>
      <w:pPr>
        <w:spacing w:after="0" w:line="140" w:lineRule="exact"/>
        <w:rPr>
          <w:sz w:val="20"/>
          <w:szCs w:val="20"/>
          <w:color w:val="auto"/>
        </w:rPr>
      </w:pPr>
    </w:p>
    <w:p>
      <w:pPr>
        <w:ind w:right="20" w:firstLine="495"/>
        <w:spacing w:after="0" w:line="254" w:lineRule="auto"/>
        <w:rPr>
          <w:sz w:val="20"/>
          <w:szCs w:val="20"/>
          <w:color w:val="auto"/>
        </w:rPr>
      </w:pPr>
      <w:r>
        <w:rPr>
          <w:rFonts w:ascii="Times New Roman" w:cs="Times New Roman" w:eastAsia="Times New Roman" w:hAnsi="Times New Roman"/>
          <w:sz w:val="14"/>
          <w:szCs w:val="14"/>
          <w:color w:val="auto"/>
        </w:rPr>
        <w:t>If you do not exchange your Old Notes for New Notes in the exchange offer, you will continue to be subject to the restrictions on transfer of your Old Notes described in the legend on the certificates for your Old Notes. The restrictions on transfer of the Old Notes arose because we issued the Old Notes in a private placement exempt from the registration requirements under the Securities Act and applicable state securities laws. In general, you may only offer or sell the Old Notes if they are registered under the Securities Act and applicable state securities laws, or you offer and sell under an exemption from these requirements. We do not plan to register any sale of the Old Notes under the Securities Act.</w:t>
      </w:r>
    </w:p>
    <w:p>
      <w:pPr>
        <w:spacing w:after="0" w:line="143" w:lineRule="exact"/>
        <w:rPr>
          <w:sz w:val="20"/>
          <w:szCs w:val="20"/>
          <w:color w:val="auto"/>
        </w:rPr>
      </w:pPr>
    </w:p>
    <w:p>
      <w:pPr>
        <w:ind w:right="60" w:firstLine="495"/>
        <w:spacing w:after="0" w:line="271" w:lineRule="auto"/>
        <w:rPr>
          <w:sz w:val="20"/>
          <w:szCs w:val="20"/>
          <w:color w:val="auto"/>
        </w:rPr>
      </w:pPr>
      <w:r>
        <w:rPr>
          <w:rFonts w:ascii="Times New Roman" w:cs="Times New Roman" w:eastAsia="Times New Roman" w:hAnsi="Times New Roman"/>
          <w:sz w:val="14"/>
          <w:szCs w:val="14"/>
          <w:color w:val="auto"/>
        </w:rPr>
        <w:t>The tender of Old Notes under the exchange offer will reduce the principal amount of the Old Notes outstanding, which may have an adverse effect upon, and increase the volatility of, the market price of the Old Notes due to a reduction in liquidity.</w:t>
      </w:r>
    </w:p>
    <w:p>
      <w:pPr>
        <w:spacing w:after="0" w:line="127" w:lineRule="exact"/>
        <w:rPr>
          <w:sz w:val="20"/>
          <w:szCs w:val="20"/>
          <w:color w:val="auto"/>
        </w:rPr>
      </w:pPr>
    </w:p>
    <w:p>
      <w:pPr>
        <w:ind w:right="320"/>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Our board of directors has not made a recommendation as to whether you should tender your Old Notes in exchange for New Notes in the exchange offer, and we have not obtained a third-party determination that the exchange offer is fair to holders of our Old Notes.</w:t>
      </w:r>
    </w:p>
    <w:p>
      <w:pPr>
        <w:spacing w:after="0" w:line="127" w:lineRule="exact"/>
        <w:rPr>
          <w:sz w:val="20"/>
          <w:szCs w:val="20"/>
          <w:color w:val="auto"/>
        </w:rPr>
      </w:pPr>
    </w:p>
    <w:p>
      <w:pPr>
        <w:ind w:firstLine="495"/>
        <w:spacing w:after="0" w:line="254" w:lineRule="auto"/>
        <w:rPr>
          <w:sz w:val="20"/>
          <w:szCs w:val="20"/>
          <w:color w:val="auto"/>
        </w:rPr>
      </w:pPr>
      <w:r>
        <w:rPr>
          <w:rFonts w:ascii="Times New Roman" w:cs="Times New Roman" w:eastAsia="Times New Roman" w:hAnsi="Times New Roman"/>
          <w:sz w:val="14"/>
          <w:szCs w:val="14"/>
          <w:color w:val="auto"/>
        </w:rPr>
        <w:t>Our board of directors has not made, and will not make, any recommendation as to whether holders of Old Notes should tender their Old Notes in exchange for New Notes pursuant to the exchange offer. We have not retained, and do not intend to retain, any unaffiliated representative to act solely on behalf of the holders of the Old Notes for purposes of negotiating the terms of this exchange offer, or preparing a report or making any recommendation concerning the fairness of this exchange offer. Holders of Old Notes must make their own independent decisions regarding their participation in the exchange offer.</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You may not receive New Notes in the exchange offer if you do not properly follow the exchange offer procedures.</w:t>
      </w:r>
    </w:p>
    <w:p>
      <w:pPr>
        <w:spacing w:after="0" w:line="173" w:lineRule="exact"/>
        <w:rPr>
          <w:sz w:val="20"/>
          <w:szCs w:val="20"/>
          <w:color w:val="auto"/>
        </w:rPr>
      </w:pPr>
    </w:p>
    <w:p>
      <w:pPr>
        <w:ind w:right="20" w:firstLine="495"/>
        <w:spacing w:after="0" w:line="254" w:lineRule="auto"/>
        <w:rPr>
          <w:sz w:val="20"/>
          <w:szCs w:val="20"/>
          <w:color w:val="auto"/>
        </w:rPr>
      </w:pPr>
      <w:r>
        <w:rPr>
          <w:rFonts w:ascii="Times New Roman" w:cs="Times New Roman" w:eastAsia="Times New Roman" w:hAnsi="Times New Roman"/>
          <w:sz w:val="14"/>
          <w:szCs w:val="14"/>
          <w:color w:val="auto"/>
        </w:rPr>
        <w:t>We will issue New Notes in exchange for your Old Notes only if you properly tender the Old Notes before expiration of the exchange offer. Neither we nor the exchange agent are required to tell you of any defects or irregularities with respect to your tender of Old Notes. If you are the beneficial holder of Old Notes that are held through your broker, dealer, commercial bank, trust company or other nominee, and you wish to tender such Old Notes in the exchange offer, you should promptly contact the person through whom your Old Notes are held and instruct that person to tender on your behalf in accordance with the procedures described in this prospectus and the accompanying transmittal letter.</w:t>
      </w: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wp:posOffset>
            </wp:positionV>
            <wp:extent cx="7164705" cy="63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60"/>
          </w:cols>
          <w:pgMar w:left="300" w:top="74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i w:val="1"/>
          <w:iCs w:val="1"/>
          <w:color w:val="auto"/>
        </w:rPr>
        <w:t>The exchange offer may be cancelled or delayed.</w:t>
      </w:r>
    </w:p>
    <w:p>
      <w:pPr>
        <w:spacing w:after="0" w:line="173" w:lineRule="exact"/>
        <w:rPr>
          <w:sz w:val="20"/>
          <w:szCs w:val="20"/>
          <w:color w:val="auto"/>
        </w:rPr>
      </w:pPr>
    </w:p>
    <w:p>
      <w:pPr>
        <w:ind w:right="260" w:firstLine="495"/>
        <w:spacing w:after="0" w:line="258" w:lineRule="auto"/>
        <w:rPr>
          <w:sz w:val="20"/>
          <w:szCs w:val="20"/>
          <w:color w:val="auto"/>
        </w:rPr>
      </w:pPr>
      <w:r>
        <w:rPr>
          <w:rFonts w:ascii="Times New Roman" w:cs="Times New Roman" w:eastAsia="Times New Roman" w:hAnsi="Times New Roman"/>
          <w:sz w:val="14"/>
          <w:szCs w:val="14"/>
          <w:color w:val="auto"/>
        </w:rPr>
        <w:t>The consummation of the exchange offer is subject to, and conditional upon, the satisfaction or waiver of the conditions. We may, at our option and in our sole discretion, waive any such conditions. Even if the exchange offer is completed, the exchange offer may not be completed on the schedule described in this prospectus. Accordingly, holders participating in the exchange offer may have to wait longer than expected to receive their New Notes, during which time those holders of the Old Notes will not be able to effect transfers of their Old Notes tendered for exchange.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Some holders who exchange their Old Notes may be deemed to be underwriters, and these holders will be required to comply with additional requirements under the Securities Act.</w:t>
      </w:r>
    </w:p>
    <w:p>
      <w:pPr>
        <w:spacing w:after="0" w:line="173" w:lineRule="exact"/>
        <w:rPr>
          <w:sz w:val="20"/>
          <w:szCs w:val="20"/>
          <w:color w:val="auto"/>
        </w:rPr>
      </w:pPr>
    </w:p>
    <w:p>
      <w:pPr>
        <w:ind w:right="20" w:firstLine="495"/>
        <w:spacing w:after="0" w:line="252" w:lineRule="auto"/>
        <w:rPr>
          <w:sz w:val="20"/>
          <w:szCs w:val="20"/>
          <w:color w:val="auto"/>
        </w:rPr>
      </w:pPr>
      <w:r>
        <w:rPr>
          <w:rFonts w:ascii="Times New Roman" w:cs="Times New Roman" w:eastAsia="Times New Roman" w:hAnsi="Times New Roman"/>
          <w:sz w:val="14"/>
          <w:szCs w:val="14"/>
          <w:color w:val="auto"/>
        </w:rPr>
        <w:t>Based on interpretations of the Securities Act by the staff of the SEC contained in certain no action letters issued to other parties, we believe that you, or any other person receiving New Notes, may offer for resale, resell or otherwise transfer the New Notes without complying with the registration and prospectus delivery requirements of the Securities Act. However, in some instances described in this prospectus under the section entitled “</w:t>
      </w:r>
      <w:r>
        <w:rPr>
          <w:rFonts w:ascii="Times New Roman" w:cs="Times New Roman" w:eastAsia="Times New Roman" w:hAnsi="Times New Roman"/>
          <w:sz w:val="14"/>
          <w:szCs w:val="14"/>
          <w:i w:val="1"/>
          <w:iCs w:val="1"/>
          <w:color w:val="auto"/>
        </w:rPr>
        <w:t>Plan of Distribution</w:t>
      </w:r>
      <w:r>
        <w:rPr>
          <w:rFonts w:ascii="Times New Roman" w:cs="Times New Roman" w:eastAsia="Times New Roman" w:hAnsi="Times New Roman"/>
          <w:sz w:val="14"/>
          <w:szCs w:val="14"/>
          <w:color w:val="auto"/>
        </w:rPr>
        <w:t>,” certain holders of New Notes will remain obligated to comply with the registration and prospectus delivery requirements of the Securities Act to transfer the New Notes. If such a holder transfers any New Notes without delivering a prospectus meeting the requirements of the Securities Act or without an applicable exemption from registration under the Securities Act, such a holder may incur liability under the Securities Act. We do not and will not assume, or indemnify such a holder against, such liability.</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the New Notes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New Notes are unsecured and subordinated to our existing and future senior indebtedness.</w:t>
      </w:r>
    </w:p>
    <w:p>
      <w:pPr>
        <w:spacing w:after="0" w:line="173" w:lineRule="exact"/>
        <w:rPr>
          <w:sz w:val="20"/>
          <w:szCs w:val="20"/>
          <w:color w:val="auto"/>
        </w:rPr>
      </w:pPr>
    </w:p>
    <w:p>
      <w:pPr>
        <w:ind w:right="60" w:firstLine="495"/>
        <w:spacing w:after="0" w:line="252" w:lineRule="auto"/>
        <w:rPr>
          <w:sz w:val="20"/>
          <w:szCs w:val="20"/>
          <w:color w:val="auto"/>
        </w:rPr>
      </w:pPr>
      <w:r>
        <w:rPr>
          <w:rFonts w:ascii="Times New Roman" w:cs="Times New Roman" w:eastAsia="Times New Roman" w:hAnsi="Times New Roman"/>
          <w:sz w:val="14"/>
          <w:szCs w:val="14"/>
          <w:color w:val="auto"/>
        </w:rPr>
        <w:t>Although the New Notes will rank on par with the Old Notes, the New Notes will be our unsecured, subordinated obligations, and, consequently, will rank junior in right of payment to all of our secured and unsecured “senior indebtedness” now existing or that we incur in the future, as described under the section entitled “</w:t>
      </w:r>
      <w:r>
        <w:rPr>
          <w:rFonts w:ascii="Times New Roman" w:cs="Times New Roman" w:eastAsia="Times New Roman" w:hAnsi="Times New Roman"/>
          <w:sz w:val="14"/>
          <w:szCs w:val="14"/>
          <w:i w:val="1"/>
          <w:iCs w:val="1"/>
          <w:color w:val="auto"/>
        </w:rPr>
        <w:t>Description of the Notes — Subordination</w:t>
      </w:r>
      <w:r>
        <w:rPr>
          <w:rFonts w:ascii="Times New Roman" w:cs="Times New Roman" w:eastAsia="Times New Roman" w:hAnsi="Times New Roman"/>
          <w:sz w:val="14"/>
          <w:szCs w:val="14"/>
          <w:color w:val="auto"/>
        </w:rPr>
        <w:t>” beginning on page 36. As a result, upon any payment or distribution of assets to creditors in the case of liquidation, dissolution, winding up, reorganization, assignment for the benefit of creditors or any bankruptcy, insolvency or similar proceeding, the holders of the senior indebtedness will be entitled to have the senior indebtedness paid in full prior to the holders of the New Notes receiving any payment of principal of, or interest on, the New Notes.</w:t>
      </w:r>
    </w:p>
    <w:p>
      <w:pPr>
        <w:spacing w:after="0" w:line="144" w:lineRule="exact"/>
        <w:rPr>
          <w:sz w:val="20"/>
          <w:szCs w:val="20"/>
          <w:color w:val="auto"/>
        </w:rPr>
      </w:pPr>
    </w:p>
    <w:p>
      <w:pPr>
        <w:ind w:firstLine="495"/>
        <w:spacing w:after="0" w:line="252" w:lineRule="auto"/>
        <w:rPr>
          <w:sz w:val="20"/>
          <w:szCs w:val="20"/>
          <w:color w:val="auto"/>
        </w:rPr>
      </w:pPr>
      <w:r>
        <w:rPr>
          <w:rFonts w:ascii="Times New Roman" w:cs="Times New Roman" w:eastAsia="Times New Roman" w:hAnsi="Times New Roman"/>
          <w:sz w:val="14"/>
          <w:szCs w:val="14"/>
          <w:color w:val="auto"/>
        </w:rPr>
        <w:t>As of March 31, 2026, the Company and its subsidiaries had total outstanding liabilities, excluding intercompany liabilities, of $2.2 billion. This amount included $2.0 billion in aggregate principal amount of deposit liabilities of the Bank, all of which rank structurally senior to the notes. The New Notes do not limit the amount of additional indebtedness or senior indebtedness that we or any of our subsidiaries, including the Bank, may incur. Accordingly, in the future, we and our subsidiaries may incur other indebtedness, which may be substantial in amount, including senior indebtedness, indebtedness ranking equally with the New Notes and indebtedness ranking effectively senior to the New Notes, as applicable. Any additional indebtedness and liabilities that we and our subsidiaries incur may adversely affect our ability to pay our obligations on the New Notes.</w:t>
      </w:r>
    </w:p>
    <w:p>
      <w:pPr>
        <w:spacing w:after="0" w:line="144" w:lineRule="exact"/>
        <w:rPr>
          <w:sz w:val="20"/>
          <w:szCs w:val="20"/>
          <w:color w:val="auto"/>
        </w:rPr>
      </w:pPr>
    </w:p>
    <w:p>
      <w:pPr>
        <w:ind w:right="140" w:firstLine="495"/>
        <w:spacing w:after="0" w:line="254" w:lineRule="auto"/>
        <w:rPr>
          <w:sz w:val="20"/>
          <w:szCs w:val="20"/>
          <w:color w:val="auto"/>
        </w:rPr>
      </w:pPr>
      <w:r>
        <w:rPr>
          <w:rFonts w:ascii="Times New Roman" w:cs="Times New Roman" w:eastAsia="Times New Roman" w:hAnsi="Times New Roman"/>
          <w:sz w:val="14"/>
          <w:szCs w:val="14"/>
          <w:color w:val="auto"/>
        </w:rPr>
        <w:t>As a consequence of the subordination of the New Notes to our existing and future senior indebtedness, an investor in those notes may lose all or some of its investment upon our liquidation, dissolution, winding up, reorganization, assignment for the benefit of creditors or any bankruptcy, insolvency or similar proceeding. In such an event, our assets would be available to pay the principal of, and any accrued and unpaid interest on, those notes only after all of our senior indebtedness had been paid in full. In such an event, any of our other general, unsecured obligations that do not constitute senior indebtedness, depending upon their respective preferences, will share pro rata in our remaining assets after we have paid all of our senior indebtedness in full.</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wp:posOffset>
            </wp:positionV>
            <wp:extent cx="7164705" cy="63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720" w:right="319" w:bottom="1440" w:gutter="0" w:footer="0" w:header="0"/>
        </w:sectPr>
      </w:pPr>
    </w:p>
    <w:bookmarkStart w:id="18" w:name="page19"/>
    <w:bookmarkEnd w:id="18"/>
    <w:p>
      <w:pPr>
        <w:ind w:right="380"/>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The New Notes are obligations only of the Company and not obligations of the Bank or any of our other subsidiaries and will be effectively subordinated to the existing and future indebtedness, deposits of the Bank and other liabilities of the Bank and our other subsidiaries.</w:t>
      </w:r>
    </w:p>
    <w:p>
      <w:pPr>
        <w:spacing w:after="0" w:line="127" w:lineRule="exact"/>
        <w:rPr>
          <w:sz w:val="20"/>
          <w:szCs w:val="20"/>
          <w:color w:val="auto"/>
        </w:rPr>
      </w:pPr>
    </w:p>
    <w:p>
      <w:pPr>
        <w:ind w:right="20" w:firstLine="495"/>
        <w:spacing w:after="0" w:line="250" w:lineRule="auto"/>
        <w:rPr>
          <w:sz w:val="20"/>
          <w:szCs w:val="20"/>
          <w:color w:val="auto"/>
        </w:rPr>
      </w:pPr>
      <w:r>
        <w:rPr>
          <w:rFonts w:ascii="Times New Roman" w:cs="Times New Roman" w:eastAsia="Times New Roman" w:hAnsi="Times New Roman"/>
          <w:sz w:val="14"/>
          <w:szCs w:val="14"/>
          <w:color w:val="auto"/>
        </w:rPr>
        <w:t>The New Notes are obligations solely of the Company and are not obligations of the Bank or any of our other subsidiaries. The Bank and our other subsidiaries are separate and distinct legal entities from the Company. The rights of the Company and the rights of its creditors, including the holders of the New Notes, to participate in any distribution of the assets of the Bank or any other subsidiary (either as a shareholder or as a creditor) upon an insolvency, bankruptcy, liquidation, dissolution, winding up or similar proceeding of the Bank or such other subsidiary (and the consequent right of the holders of the New Notes to participate in those assets after repayment of our existing or future senior indebtedness), will be subject to the claims of the creditors of the Bank, including depositors of the Bank, or such other subsidiary. Accordingly, the New Notes are effectively subordinated to all of the existing and future indebtedness, deposits and other liabilities and preferred equity of the Bank and our other subsidiaries, to the extent that those liabilities, including deposit liabilities, equal or exceed their respective assets.</w:t>
      </w:r>
    </w:p>
    <w:p>
      <w:pPr>
        <w:spacing w:after="0" w:line="148" w:lineRule="exact"/>
        <w:rPr>
          <w:sz w:val="20"/>
          <w:szCs w:val="20"/>
          <w:color w:val="auto"/>
        </w:rPr>
      </w:pPr>
    </w:p>
    <w:p>
      <w:pPr>
        <w:ind w:right="20" w:firstLine="495"/>
        <w:spacing w:after="0" w:line="271" w:lineRule="auto"/>
        <w:rPr>
          <w:sz w:val="20"/>
          <w:szCs w:val="20"/>
          <w:color w:val="auto"/>
        </w:rPr>
      </w:pPr>
      <w:r>
        <w:rPr>
          <w:rFonts w:ascii="Times New Roman" w:cs="Times New Roman" w:eastAsia="Times New Roman" w:hAnsi="Times New Roman"/>
          <w:sz w:val="14"/>
          <w:szCs w:val="14"/>
          <w:color w:val="auto"/>
        </w:rPr>
        <w:t>The New Notes do not limit the amount of indebtedness or other liabilities that the Bank or any of our other subsidiaries may incur. Any additional indebtedness and liabilities that our subsidiaries incur may adversely affect our ability to pay our obligations on the New Notes.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New Notes include limited covenants and do not restrict our ability to incur additional debt.</w:t>
      </w:r>
    </w:p>
    <w:p>
      <w:pPr>
        <w:spacing w:after="0" w:line="173" w:lineRule="exact"/>
        <w:rPr>
          <w:sz w:val="20"/>
          <w:szCs w:val="20"/>
          <w:color w:val="auto"/>
        </w:rPr>
      </w:pPr>
    </w:p>
    <w:p>
      <w:pPr>
        <w:ind w:right="160" w:firstLine="495"/>
        <w:spacing w:after="0" w:line="252" w:lineRule="auto"/>
        <w:rPr>
          <w:sz w:val="20"/>
          <w:szCs w:val="20"/>
          <w:color w:val="auto"/>
        </w:rPr>
      </w:pPr>
      <w:r>
        <w:rPr>
          <w:rFonts w:ascii="Times New Roman" w:cs="Times New Roman" w:eastAsia="Times New Roman" w:hAnsi="Times New Roman"/>
          <w:sz w:val="14"/>
          <w:szCs w:val="14"/>
          <w:color w:val="auto"/>
        </w:rPr>
        <w:t>The New Notes do not contain any financial covenants that would require us to achieve or maintain any minimum financial results relating to our financial condition, liquidity or results of operations or meet or exceed certain financial ratios as a general matter or to incur additional indebtedness or obligations or to maintain any reserves. Moreover, the New Notes do not contain any covenants prohibiting us or our subsidiaries from, or limiting our or our subsidiaries’ right to, grant liens on assets to secure indebtedness or other obligations, to repurchase our stock or other securities, including any of the New Notes, or to pay dividends or make other distributions to our shareholders. The New Notes do not contain any provision that would provide protection to the holders of the New Notes against a material decline in our credit quality.</w:t>
      </w:r>
    </w:p>
    <w:p>
      <w:pPr>
        <w:spacing w:after="0" w:line="144" w:lineRule="exact"/>
        <w:rPr>
          <w:sz w:val="20"/>
          <w:szCs w:val="20"/>
          <w:color w:val="auto"/>
        </w:rPr>
      </w:pPr>
    </w:p>
    <w:p>
      <w:pPr>
        <w:jc w:val="both"/>
        <w:ind w:right="20" w:firstLine="495"/>
        <w:spacing w:after="0" w:line="258" w:lineRule="auto"/>
        <w:rPr>
          <w:sz w:val="20"/>
          <w:szCs w:val="20"/>
          <w:color w:val="auto"/>
        </w:rPr>
      </w:pPr>
      <w:r>
        <w:rPr>
          <w:rFonts w:ascii="Times New Roman" w:cs="Times New Roman" w:eastAsia="Times New Roman" w:hAnsi="Times New Roman"/>
          <w:sz w:val="14"/>
          <w:szCs w:val="14"/>
          <w:color w:val="auto"/>
        </w:rPr>
        <w:t>In addition, the New Notes do not limit the amount of additional indebtedness we or any of our subsidiaries may incur or the amount of other obligations that we may incur ranking senior or equal to the indebtedness evidenced by the New Notes. The issuance or guarantee of any such securities or the incurrence of any such other liabilities may reduce the amount, if any, recoverable by holders of the New Notes in the event of our insolvency, bankruptcy, liquidation, dissolution, winding up or similar proceeding, and may limit our ability to meet our obligations under the New Notes.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To service our debt, we will require a significant amount of cash. Our ability to generate cash depends on many factors.</w:t>
      </w:r>
    </w:p>
    <w:p>
      <w:pPr>
        <w:spacing w:after="0" w:line="173" w:lineRule="exact"/>
        <w:rPr>
          <w:sz w:val="20"/>
          <w:szCs w:val="20"/>
          <w:color w:val="auto"/>
        </w:rPr>
      </w:pPr>
    </w:p>
    <w:p>
      <w:pPr>
        <w:ind w:firstLine="495"/>
        <w:spacing w:after="0" w:line="248" w:lineRule="auto"/>
        <w:rPr>
          <w:sz w:val="20"/>
          <w:szCs w:val="20"/>
          <w:color w:val="auto"/>
        </w:rPr>
      </w:pPr>
      <w:r>
        <w:rPr>
          <w:rFonts w:ascii="Times New Roman" w:cs="Times New Roman" w:eastAsia="Times New Roman" w:hAnsi="Times New Roman"/>
          <w:sz w:val="14"/>
          <w:szCs w:val="14"/>
          <w:color w:val="auto"/>
        </w:rPr>
        <w:t>Our ability to make payments on or to refinance our indebtedness, including our ability to meet our obligations under the New Notes, and to fund our operations depends on our ability to generate cash and our access to the capital markets in the future. These will depend on our financial and operating performance, which, to a certain extent, are subject to general economic, financial, competitive, legislative, regulatory, capital market conditions and other factors that are beyond our control. If our cash flows and capital resources are insufficient to fund our debt service obligations, we may be unable to obtain new financing or to fund our obligations to our customers and business partners, implement our business plans, sell assets, seek additional capital or restructure or refinance our indebtedness, including the New Notes. As a result, we may be unable to meet our obligations under the New Notes. In the absence of sufficient capital resources, we could face substantial liquidity problems and might be required to dispose of material assets or operations to meet debt service and other obligations. We may not be able to consummate those dispositions of assets or to obtain the proceeds that they could realize from them and these proceeds may not be adequate to meet any debt service obligations then due, including obligations under the New Notes. Additionally, as a holding company, our ability to service our debt is dependent, in part, on the receipt of dividends, fees, and interest paid to us by the Bank. The Bank is a separate legal entity that is legally distinct from us and has no obligation to make funds available to us for payments of principal of or interest on the New Notes. While we expect these payments to continue in the future, there are regulatory limits under New York and federal law on the amount of dividends and distributions that the Bank can pay to us without regulatory approval. Accordingly, we can provide no assurance that we will receive dividends or other distributions from the Bank in an amount sufficient to pay the principal of or interest on the New Notes. See the section entitled “Business — Supervision and Regulation” in our Annual Report on Form 10-K for the year ended December 31, 2025 for additional information.</w:t>
      </w: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wp:posOffset>
            </wp:positionV>
            <wp:extent cx="7164705" cy="63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60"/>
          </w:cols>
          <w:pgMar w:left="300" w:top="720"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i w:val="1"/>
          <w:iCs w:val="1"/>
          <w:color w:val="auto"/>
        </w:rPr>
        <w:t>The New Notes are subject to limited rights of acceleration.</w:t>
      </w:r>
    </w:p>
    <w:p>
      <w:pPr>
        <w:spacing w:after="0" w:line="173" w:lineRule="exact"/>
        <w:rPr>
          <w:sz w:val="20"/>
          <w:szCs w:val="20"/>
          <w:color w:val="auto"/>
        </w:rPr>
      </w:pPr>
    </w:p>
    <w:p>
      <w:pPr>
        <w:ind w:right="360" w:firstLine="495"/>
        <w:spacing w:after="0" w:line="271" w:lineRule="auto"/>
        <w:rPr>
          <w:sz w:val="20"/>
          <w:szCs w:val="20"/>
          <w:color w:val="auto"/>
        </w:rPr>
      </w:pPr>
      <w:r>
        <w:rPr>
          <w:rFonts w:ascii="Times New Roman" w:cs="Times New Roman" w:eastAsia="Times New Roman" w:hAnsi="Times New Roman"/>
          <w:sz w:val="14"/>
          <w:szCs w:val="14"/>
          <w:color w:val="auto"/>
        </w:rPr>
        <w:t>Payment of principal of the New Notes may be accelerated only in the case of certain bankruptcy-related events with respect to us. As a result, you have no right to accelerate the payment of principal of the New Notes if we fail to pay principal of or interest on the New Notes or if we fail in the performance of any of our other obligations under the New Notes.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The amount of interest payable on the New Notes will vary beginning March 15, 2031, and interest after that date may be less than the initial fixed annual rate of 7.25% in effect until March 15, 2031.</w:t>
      </w:r>
    </w:p>
    <w:p>
      <w:pPr>
        <w:spacing w:after="0" w:line="184" w:lineRule="exact"/>
        <w:rPr>
          <w:sz w:val="20"/>
          <w:szCs w:val="20"/>
          <w:color w:val="auto"/>
        </w:rPr>
      </w:pPr>
    </w:p>
    <w:p>
      <w:pPr>
        <w:ind w:right="60" w:firstLine="495"/>
        <w:spacing w:after="0" w:line="254" w:lineRule="auto"/>
        <w:rPr>
          <w:sz w:val="20"/>
          <w:szCs w:val="20"/>
          <w:color w:val="auto"/>
        </w:rPr>
      </w:pPr>
      <w:r>
        <w:rPr>
          <w:rFonts w:ascii="Times New Roman" w:cs="Times New Roman" w:eastAsia="Times New Roman" w:hAnsi="Times New Roman"/>
          <w:sz w:val="14"/>
          <w:szCs w:val="14"/>
          <w:color w:val="auto"/>
        </w:rPr>
        <w:t>From and including March 12, 2026, to, but excluding, March 15, 2031, the New Notes will bear interest at a rate of 7.25% per annum, payable semi-annually in arrears on March 15 and September 15 of each year, commencing on September 15, 2026. Thereafter, the notes will bear interest at a floating rate per annum equal to the then current three-month SOFR (provided, however, that in the event the three-month SOFR is less than zero, three-month SOFR shall be deemed to be zero), plus 386 basis points, subject to the provisions in the section entitled “</w:t>
      </w:r>
      <w:r>
        <w:rPr>
          <w:rFonts w:ascii="Times New Roman" w:cs="Times New Roman" w:eastAsia="Times New Roman" w:hAnsi="Times New Roman"/>
          <w:sz w:val="14"/>
          <w:szCs w:val="14"/>
          <w:i w:val="1"/>
          <w:iCs w:val="1"/>
          <w:color w:val="auto"/>
        </w:rPr>
        <w:t>Description of the Notes — </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Principal, Maturity and Interest</w:t>
      </w:r>
      <w:r>
        <w:rPr>
          <w:rFonts w:ascii="Times New Roman" w:cs="Times New Roman" w:eastAsia="Times New Roman" w:hAnsi="Times New Roman"/>
          <w:sz w:val="14"/>
          <w:szCs w:val="14"/>
          <w:color w:val="auto"/>
        </w:rPr>
        <w:t>.”</w:t>
      </w:r>
    </w:p>
    <w:p>
      <w:pPr>
        <w:spacing w:after="0" w:line="143" w:lineRule="exact"/>
        <w:rPr>
          <w:sz w:val="20"/>
          <w:szCs w:val="20"/>
          <w:color w:val="auto"/>
        </w:rPr>
      </w:pPr>
    </w:p>
    <w:p>
      <w:pPr>
        <w:ind w:right="200" w:firstLine="495"/>
        <w:spacing w:after="0" w:line="254" w:lineRule="auto"/>
        <w:rPr>
          <w:sz w:val="20"/>
          <w:szCs w:val="20"/>
          <w:color w:val="auto"/>
        </w:rPr>
      </w:pPr>
      <w:r>
        <w:rPr>
          <w:rFonts w:ascii="Times New Roman" w:cs="Times New Roman" w:eastAsia="Times New Roman" w:hAnsi="Times New Roman"/>
          <w:sz w:val="14"/>
          <w:szCs w:val="14"/>
          <w:color w:val="auto"/>
        </w:rPr>
        <w:t>Floating rate notes bear additional risks not associated with fixed rate debt securities. These risks include fluctuation of the interest rates and the possibility that you will receive an amount of interest that is lower than expected. We have no control over a number of matters that may impact prevailing interest rates, including, without limitation, economic, financial, and political events that are important in determining the existence, magnitude, and longevity of market volatility, and other risks and their impact on the value of, or payments made on, the notes. In recent years, interest rates have been volatile, and that volatility may be expected in the future.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You should not rely on indicative or historical data concerning SOFR.</w:t>
      </w:r>
    </w:p>
    <w:p>
      <w:pPr>
        <w:spacing w:after="0" w:line="173" w:lineRule="exact"/>
        <w:rPr>
          <w:sz w:val="20"/>
          <w:szCs w:val="20"/>
          <w:color w:val="auto"/>
        </w:rPr>
      </w:pPr>
    </w:p>
    <w:p>
      <w:pPr>
        <w:ind w:firstLine="495"/>
        <w:spacing w:after="0" w:line="287" w:lineRule="auto"/>
        <w:rPr>
          <w:sz w:val="20"/>
          <w:szCs w:val="20"/>
          <w:color w:val="auto"/>
        </w:rPr>
      </w:pPr>
      <w:r>
        <w:rPr>
          <w:rFonts w:ascii="Times New Roman" w:cs="Times New Roman" w:eastAsia="Times New Roman" w:hAnsi="Times New Roman"/>
          <w:sz w:val="13"/>
          <w:szCs w:val="13"/>
          <w:color w:val="auto"/>
        </w:rPr>
        <w:t>The interest rate during the floating rate period will be determined using Three-Month Term SOFR (unless a Benchmark Transition Event and its related Benchmark Replacement Date occur with respect to Three-Month Term SOFR, in which case the rate of interest will be based on the next-available Benchmark Replacement). In the following discussion of the Secured Overnight Financing Rate, or SOFR, when we refer to SOFR-linked notes, we mean the notes at any time when the interest rate on the notes is or will be determined based on SOFR, including Three-Month Term SOFR.</w:t>
      </w:r>
    </w:p>
    <w:p>
      <w:pPr>
        <w:spacing w:after="0" w:line="123" w:lineRule="exact"/>
        <w:rPr>
          <w:sz w:val="20"/>
          <w:szCs w:val="20"/>
          <w:color w:val="auto"/>
        </w:rPr>
      </w:pPr>
    </w:p>
    <w:p>
      <w:pPr>
        <w:ind w:firstLine="495"/>
        <w:spacing w:after="0" w:line="252" w:lineRule="auto"/>
        <w:rPr>
          <w:sz w:val="20"/>
          <w:szCs w:val="20"/>
          <w:color w:val="auto"/>
        </w:rPr>
      </w:pPr>
      <w:r>
        <w:rPr>
          <w:rFonts w:ascii="Times New Roman" w:cs="Times New Roman" w:eastAsia="Times New Roman" w:hAnsi="Times New Roman"/>
          <w:sz w:val="14"/>
          <w:szCs w:val="14"/>
          <w:color w:val="auto"/>
        </w:rPr>
        <w:t>SOFR is calculated and published by the Federal Reserve Bank of New York (“FRBNY”) and is intended to be a broad measure of the cost of borrowing cash overnight collateralized by U.S. Treasury securities. FRBNY reports that SOFR includes all trades in the Broad General Collateral Rate, plus bilateral U.S. Treasury repurchase agreement (“repo”) transactions cleared through the delivery-versus-payment service offered by the Fixed Income Clearing Corporation, a subsidiary of the DTC. SOFR is filtered by FRBNY to remove a portion of the foregoing transactions considered to be “specials.” According to FRBNY, “specials” are repos for specific-issue collateral which take place at cash-lending rates below those for general collateral repos because cash providers are willing to accept a lesser return on their cash in order to obtain a particular security.</w:t>
      </w:r>
    </w:p>
    <w:p>
      <w:pPr>
        <w:spacing w:after="0" w:line="144" w:lineRule="exact"/>
        <w:rPr>
          <w:sz w:val="20"/>
          <w:szCs w:val="20"/>
          <w:color w:val="auto"/>
        </w:rPr>
      </w:pPr>
    </w:p>
    <w:p>
      <w:pPr>
        <w:ind w:right="160" w:firstLine="495"/>
        <w:spacing w:after="0" w:line="258" w:lineRule="auto"/>
        <w:rPr>
          <w:sz w:val="20"/>
          <w:szCs w:val="20"/>
          <w:color w:val="auto"/>
        </w:rPr>
      </w:pPr>
      <w:r>
        <w:rPr>
          <w:rFonts w:ascii="Times New Roman" w:cs="Times New Roman" w:eastAsia="Times New Roman" w:hAnsi="Times New Roman"/>
          <w:sz w:val="14"/>
          <w:szCs w:val="14"/>
          <w:color w:val="auto"/>
        </w:rPr>
        <w:t>SOFR was selected as the preferred overnight reference rate for U.S. Dollar financial contracts by the Alternative Reference Rates Committee (the “ARRC”). On July 29, 2021, the ARRC formally recommended the use of the CME Group’s forward-looking SOFR term rates. The CME Term SOFR reference rates provide forward-looking term rate estimates derived from SOFR, calculated and published for One-Month, Three-Month, Six-Month and Twelve-Month tenors (referred to as Term SOFR).</w:t>
      </w:r>
    </w:p>
    <w:p>
      <w:pPr>
        <w:spacing w:after="0" w:line="140" w:lineRule="exact"/>
        <w:rPr>
          <w:sz w:val="20"/>
          <w:szCs w:val="20"/>
          <w:color w:val="auto"/>
        </w:rPr>
      </w:pPr>
    </w:p>
    <w:p>
      <w:pPr>
        <w:ind w:right="20" w:firstLine="495"/>
        <w:spacing w:after="0" w:line="254" w:lineRule="auto"/>
        <w:rPr>
          <w:sz w:val="20"/>
          <w:szCs w:val="20"/>
          <w:color w:val="auto"/>
        </w:rPr>
      </w:pPr>
      <w:r>
        <w:rPr>
          <w:rFonts w:ascii="Times New Roman" w:cs="Times New Roman" w:eastAsia="Times New Roman" w:hAnsi="Times New Roman"/>
          <w:sz w:val="14"/>
          <w:szCs w:val="14"/>
          <w:color w:val="auto"/>
        </w:rPr>
        <w:t>The benchmark rate applicable to the notes during the floating rate period commencing on March 15, 2031 is expected to be the then-current Three-Month Term SOFR, plus 386 basis points. Although the Three-Month Term SOFR is linked to SOFR, the Three-Month Term SOFR is calculated by the CME Group, and not the FRBNY, using transaction data from thirteen consecutive SR1 futures (1-month CME SOFR futures contracts) and five SR3 futures (3-month CME SOFR futures contracts). A set of volume weighted average prices (VWAP) are calculated using transaction prices observed during several observation intervals throughout the trading day. These are then used in a projection model to determine Term SOFR reference rates, including the Three-Month Term SOFR.</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wp:posOffset>
            </wp:positionV>
            <wp:extent cx="7164705" cy="63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4">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720"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i w:val="1"/>
          <w:iCs w:val="1"/>
          <w:color w:val="auto"/>
        </w:rPr>
        <w:t>Term SOFR and SOFR may be more volatile than other benchmark or market rates.</w:t>
      </w:r>
    </w:p>
    <w:p>
      <w:pPr>
        <w:spacing w:after="0" w:line="173" w:lineRule="exact"/>
        <w:rPr>
          <w:sz w:val="20"/>
          <w:szCs w:val="20"/>
          <w:color w:val="auto"/>
        </w:rPr>
      </w:pPr>
    </w:p>
    <w:p>
      <w:pPr>
        <w:jc w:val="both"/>
        <w:ind w:firstLine="495"/>
        <w:spacing w:after="0" w:line="258" w:lineRule="auto"/>
        <w:rPr>
          <w:sz w:val="20"/>
          <w:szCs w:val="20"/>
          <w:color w:val="auto"/>
        </w:rPr>
      </w:pPr>
      <w:r>
        <w:rPr>
          <w:rFonts w:ascii="Times New Roman" w:cs="Times New Roman" w:eastAsia="Times New Roman" w:hAnsi="Times New Roman"/>
          <w:sz w:val="14"/>
          <w:szCs w:val="14"/>
          <w:color w:val="auto"/>
        </w:rPr>
        <w:t>Since the initial publication of SOFR, daily changes in the rate have, on occasion, been more volatile than daily changes in comparable benchmark or market rates, and SOFR and Term SOFR over time may bear little or no relation to the historical actual or historical indicative data. In addition, the return on and value of the Term SOFR-linked notes may fluctuate more than floating rate securities that are linked to less volatile rates.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Changes in the calculation of Term SOFR could adversely affect the amount of interest that accrues on the New Notes and the trading prices for the New Notes.</w:t>
      </w:r>
    </w:p>
    <w:p>
      <w:pPr>
        <w:spacing w:after="0" w:line="173" w:lineRule="exact"/>
        <w:rPr>
          <w:sz w:val="20"/>
          <w:szCs w:val="20"/>
          <w:color w:val="auto"/>
        </w:rPr>
      </w:pPr>
    </w:p>
    <w:p>
      <w:pPr>
        <w:ind w:right="20" w:firstLine="495"/>
        <w:spacing w:after="0" w:line="250" w:lineRule="auto"/>
        <w:rPr>
          <w:sz w:val="20"/>
          <w:szCs w:val="20"/>
          <w:color w:val="auto"/>
        </w:rPr>
      </w:pPr>
      <w:r>
        <w:rPr>
          <w:rFonts w:ascii="Times New Roman" w:cs="Times New Roman" w:eastAsia="Times New Roman" w:hAnsi="Times New Roman"/>
          <w:sz w:val="14"/>
          <w:szCs w:val="14"/>
          <w:color w:val="auto"/>
        </w:rPr>
        <w:t>Because Term SOFR and SOFR are calculated based on data received from other sources, we have no control over its determination, calculation or publication. There can be no assurance that Term SOFR and SOFR will not be discontinued or fundamentally altered in a manner that is materially adverse to the interests of investors in the Term SOFR-linked notes. If the manner in which Term SOFR or SOFR is calculated is changed, that change may result in a change in the amount of interest that accrues on the Term SOFR-linked notes, which may adversely affect the trading prices of the Term SOFR-linked notes. Further, if the Benchmark rate on the Term SOFR-linked notes during the Floating Rate Period for any interest period declines to zero or becomes negative, then interest will only accrue on the Term SOFR linked notes at a rate equal to the spread of 386 basis points per annum with respect to that interest period. There is no assurance that changes in Term SOFR could not have a material adverse effect on the yield on, value of and market for the Term SOFR-linked notes.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interest rate for the New Notes during the floating rate period may be determined based on a rate other than Three-Month Term SOFR.</w:t>
      </w:r>
    </w:p>
    <w:p>
      <w:pPr>
        <w:spacing w:after="0" w:line="173" w:lineRule="exact"/>
        <w:rPr>
          <w:sz w:val="20"/>
          <w:szCs w:val="20"/>
          <w:color w:val="auto"/>
        </w:rPr>
      </w:pPr>
    </w:p>
    <w:p>
      <w:pPr>
        <w:ind w:right="200" w:firstLine="495"/>
        <w:spacing w:after="0" w:line="250" w:lineRule="auto"/>
        <w:rPr>
          <w:sz w:val="20"/>
          <w:szCs w:val="20"/>
          <w:color w:val="auto"/>
        </w:rPr>
      </w:pPr>
      <w:r>
        <w:rPr>
          <w:rFonts w:ascii="Times New Roman" w:cs="Times New Roman" w:eastAsia="Times New Roman" w:hAnsi="Times New Roman"/>
          <w:sz w:val="14"/>
          <w:szCs w:val="14"/>
          <w:color w:val="auto"/>
        </w:rPr>
        <w:t>Under the terms of the New Notes, the interest rate on the New Notes for each interest period during the applicable floating rate period will be based on Three-Month Term SOFR, a forward-looking term rate for a tenor of three months that will be based on SOFR. SOFR has a very limited history, and the future performance of SOFR cannot be predicted based on its limited historical performance. The level of SOFR during the applicable floating rate period for the New Notes may bear little or no relation to historical actual or indicative data. Prior observed patterns, if any, in the behavior of market variables and their relation to SOFR, such as correlations, may change in the future. The future performance of SOFR is therefore impossible to predict, and no future performance of SOFR may be inferred from any of the historical actual or indicative data. Changes in the levels of SOFR will affect the interest rate of the New Notes during the applicable floating rate period and accordingly will affect the return on the New Notes and the market price of the New Notes, but it is impossible to predict whether such levels will rise or fall.</w:t>
      </w:r>
    </w:p>
    <w:p>
      <w:pPr>
        <w:spacing w:after="0" w:line="148" w:lineRule="exact"/>
        <w:rPr>
          <w:sz w:val="20"/>
          <w:szCs w:val="20"/>
          <w:color w:val="auto"/>
        </w:rPr>
      </w:pPr>
    </w:p>
    <w:p>
      <w:pPr>
        <w:ind w:right="240" w:firstLine="495"/>
        <w:spacing w:after="0" w:line="254" w:lineRule="auto"/>
        <w:rPr>
          <w:sz w:val="20"/>
          <w:szCs w:val="20"/>
          <w:color w:val="auto"/>
        </w:rPr>
      </w:pPr>
      <w:r>
        <w:rPr>
          <w:rFonts w:ascii="Times New Roman" w:cs="Times New Roman" w:eastAsia="Times New Roman" w:hAnsi="Times New Roman"/>
          <w:sz w:val="14"/>
          <w:szCs w:val="14"/>
          <w:color w:val="auto"/>
        </w:rPr>
        <w:t>Under the terms of the New Notes, we are expressly authorized to make determinations, decisions or elections with respect to technical, administrative or operational matters that we decide are appropriate to reflect the use of Three-Month Term SOFR as the interest rate basis for the notes, which are defined in the terms of the indenture as “Three-Month Term SOFR Conventions.” Our determination and implementation of any Three-Month Term SOFR Conventions could result in adverse consequences to the amount of interest that accrues on the notes during the floating rate period, which could adversely affect the return on, value of and market for the notes.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Any Benchmark Replacement may not be the economic equivalent of Three-Month Term SOFR.</w:t>
      </w:r>
    </w:p>
    <w:p>
      <w:pPr>
        <w:spacing w:after="0" w:line="173" w:lineRule="exact"/>
        <w:rPr>
          <w:sz w:val="20"/>
          <w:szCs w:val="20"/>
          <w:color w:val="auto"/>
        </w:rPr>
      </w:pPr>
    </w:p>
    <w:p>
      <w:pPr>
        <w:ind w:right="200" w:firstLine="495"/>
        <w:spacing w:after="0" w:line="252" w:lineRule="auto"/>
        <w:rPr>
          <w:sz w:val="20"/>
          <w:szCs w:val="20"/>
          <w:color w:val="auto"/>
        </w:rPr>
      </w:pPr>
      <w:r>
        <w:rPr>
          <w:rFonts w:ascii="Times New Roman" w:cs="Times New Roman" w:eastAsia="Times New Roman" w:hAnsi="Times New Roman"/>
          <w:sz w:val="14"/>
          <w:szCs w:val="14"/>
          <w:color w:val="auto"/>
        </w:rPr>
        <w:t>Under the benchmark transition provisions of the New Notes, if the calculation agent determines that a Benchmark Transition Event and its related Benchmark Replacement Date have occurred with respect to Three-Month Term SOFR, then the interest rate on the notes during the floating rate period will be determined using the next-available Benchmark Replacement (which may include a related Benchmark Replacement Adjustment). However, the Benchmark Replacement may not be the economic equivalent of Three-Month Term SOFR. For example, Compounded SOFR, the first available Benchmark Replacement, is the compounded average of the daily SOFR calculated in arrears, while Three-Month Term SOFR is intended to be a forward-looking rate with a tenor of three months. Further, the ISDA Fallback Rate, which is another Benchmark Replacement, may change over time.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implementation of Benchmark Replacement Conforming Changes could adversely affect the amount of interest that accrues on the notes and the trading prices for the New Notes.</w:t>
      </w:r>
    </w:p>
    <w:p>
      <w:pPr>
        <w:spacing w:after="0" w:line="173" w:lineRule="exact"/>
        <w:rPr>
          <w:sz w:val="20"/>
          <w:szCs w:val="20"/>
          <w:color w:val="auto"/>
        </w:rPr>
      </w:pPr>
    </w:p>
    <w:p>
      <w:pPr>
        <w:ind w:right="300" w:firstLine="495"/>
        <w:spacing w:after="0" w:line="275" w:lineRule="auto"/>
        <w:rPr>
          <w:sz w:val="20"/>
          <w:szCs w:val="20"/>
          <w:color w:val="auto"/>
        </w:rPr>
      </w:pPr>
      <w:r>
        <w:rPr>
          <w:rFonts w:ascii="Times New Roman" w:cs="Times New Roman" w:eastAsia="Times New Roman" w:hAnsi="Times New Roman"/>
          <w:sz w:val="13"/>
          <w:szCs w:val="13"/>
          <w:color w:val="auto"/>
        </w:rPr>
        <w:t>Under the benchmark transition provisions of the New Notes, if Three-Month SOFR has been discontinued or if a particular Benchmark Replacement or Benchmark Replacement Adjustment cannot be determined, then the next-available Benchmark Replacement or Benchmark Replacement Adjustment will apply. These replacement rates and adjustments may be selected or formulated by</w:t>
      </w:r>
    </w:p>
    <w:p>
      <w:pPr>
        <w:spacing w:after="0" w:line="1" w:lineRule="exact"/>
        <w:rPr>
          <w:sz w:val="20"/>
          <w:szCs w:val="20"/>
          <w:color w:val="auto"/>
        </w:rPr>
      </w:pPr>
    </w:p>
    <w:p>
      <w:pPr>
        <w:ind w:firstLine="2"/>
        <w:spacing w:after="0" w:line="246" w:lineRule="auto"/>
        <w:tabs>
          <w:tab w:leader="none" w:pos="164"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Relevant Governmental Body, (ii) ISDA or (iii) in certain circumstances, the calculation agent. In addition, the benchmark transition provisions expressly authorize the calculation agent to make certain changes, which are defined in the terms of the indenture as “Benchmark Replacement Conforming Changes,” with respect to, among other things, the determination of interest periods, and the timing and frequency of determining rates and making payments of interest. The application of a Benchmark Replacement and Benchmark Replacement Adjustment, and any implementation of Benchmark Replacement Conforming Changes, could result in adverse consequences to the amount of interest that accrues on the New Notes during the floating rate period, which could adversely affect the return on, value of and market for the New Notes. Further, there is no assurance that the characteristics of any Benchmark Replacement will be similar to the then-current Benchmark that it is replacing, or that any Benchmark Replacement will produce the economic equivalent of the then-current Benchmark that it is replacing.</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wp:posOffset>
            </wp:positionV>
            <wp:extent cx="7164705" cy="63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5">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720"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i w:val="1"/>
          <w:iCs w:val="1"/>
          <w:color w:val="auto"/>
        </w:rPr>
        <w:t>There may be no active trading market for the New Notes.</w:t>
      </w:r>
    </w:p>
    <w:p>
      <w:pPr>
        <w:spacing w:after="0" w:line="173" w:lineRule="exact"/>
        <w:rPr>
          <w:sz w:val="20"/>
          <w:szCs w:val="20"/>
          <w:color w:val="auto"/>
        </w:rPr>
      </w:pPr>
    </w:p>
    <w:p>
      <w:pPr>
        <w:ind w:firstLine="495"/>
        <w:spacing w:after="0" w:line="280" w:lineRule="auto"/>
        <w:rPr>
          <w:sz w:val="20"/>
          <w:szCs w:val="20"/>
          <w:color w:val="auto"/>
        </w:rPr>
      </w:pPr>
      <w:r>
        <w:rPr>
          <w:rFonts w:ascii="Times New Roman" w:cs="Times New Roman" w:eastAsia="Times New Roman" w:hAnsi="Times New Roman"/>
          <w:sz w:val="13"/>
          <w:szCs w:val="13"/>
          <w:color w:val="auto"/>
        </w:rPr>
        <w:t>The New Notes are a new issue of securities with no established trading market. We are not obligated to and do not intend to apply for listing of the New Notes on any national securities exchange or quotation system. A liquid or active trading market for the New Notes may not develop. If an active trading market for the New Notes does not develop, the market price and liquidity of the New Notes may be adversely affected. If the New Notes are traded, they may trade at a discount from their initial offering price, depending on prevailing interest rates, the market for similar securities, our performance and other factors. Accordingly, we cannot assure you that you will be able to sell any of the New Notes or the prices, if any, at which holders may be able to sell their New Notes.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indebtedness could adversely affect our financial results and prevent us from fulfilling our obligations under the New Notes.</w:t>
      </w:r>
    </w:p>
    <w:p>
      <w:pPr>
        <w:spacing w:after="0" w:line="173" w:lineRule="exact"/>
        <w:rPr>
          <w:sz w:val="20"/>
          <w:szCs w:val="20"/>
          <w:color w:val="auto"/>
        </w:rPr>
      </w:pPr>
    </w:p>
    <w:p>
      <w:pPr>
        <w:jc w:val="both"/>
        <w:ind w:right="220" w:firstLine="495"/>
        <w:spacing w:after="0" w:line="258" w:lineRule="auto"/>
        <w:rPr>
          <w:sz w:val="20"/>
          <w:szCs w:val="20"/>
          <w:color w:val="auto"/>
        </w:rPr>
      </w:pPr>
      <w:r>
        <w:rPr>
          <w:rFonts w:ascii="Times New Roman" w:cs="Times New Roman" w:eastAsia="Times New Roman" w:hAnsi="Times New Roman"/>
          <w:sz w:val="14"/>
          <w:szCs w:val="14"/>
          <w:color w:val="auto"/>
        </w:rPr>
        <w:t>In addition to our currently outstanding indebtedness, we may be able to borrow substantial additional indebtedness in the future. If new indebtedness is incurred in addition to our current debt levels, the related risks that we now face could increase. Our indebtedness, including the indebtedness we may incur in the future, could have important consequences for the holders of the New Notes, including:</w:t>
      </w:r>
    </w:p>
    <w:p>
      <w:pPr>
        <w:spacing w:after="0" w:line="140" w:lineRule="exact"/>
        <w:rPr>
          <w:sz w:val="20"/>
          <w:szCs w:val="20"/>
          <w:color w:val="auto"/>
        </w:rPr>
      </w:pPr>
    </w:p>
    <w:p>
      <w:pPr>
        <w:ind w:left="1000" w:hanging="503"/>
        <w:spacing w:after="0"/>
        <w:tabs>
          <w:tab w:leader="none" w:pos="1000" w:val="left"/>
        </w:tabs>
        <w:numPr>
          <w:ilvl w:val="0"/>
          <w:numId w:val="5"/>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limiting our ability to satisfy our obligations with respect to the New Notes;</w:t>
      </w:r>
    </w:p>
    <w:p>
      <w:pPr>
        <w:spacing w:after="0" w:line="168" w:lineRule="exact"/>
        <w:rPr>
          <w:rFonts w:ascii="Arial" w:cs="Arial" w:eastAsia="Arial" w:hAnsi="Arial"/>
          <w:sz w:val="14"/>
          <w:szCs w:val="14"/>
          <w:b w:val="1"/>
          <w:bCs w:val="1"/>
          <w:color w:val="auto"/>
        </w:rPr>
      </w:pPr>
    </w:p>
    <w:p>
      <w:pPr>
        <w:ind w:left="1000" w:hanging="503"/>
        <w:spacing w:after="0"/>
        <w:tabs>
          <w:tab w:leader="none" w:pos="1000" w:val="left"/>
        </w:tabs>
        <w:numPr>
          <w:ilvl w:val="0"/>
          <w:numId w:val="5"/>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increasing our vulnerability to general adverse economic industry conditions;</w:t>
      </w:r>
    </w:p>
    <w:p>
      <w:pPr>
        <w:spacing w:after="0" w:line="168" w:lineRule="exact"/>
        <w:rPr>
          <w:rFonts w:ascii="Arial" w:cs="Arial" w:eastAsia="Arial" w:hAnsi="Arial"/>
          <w:sz w:val="14"/>
          <w:szCs w:val="14"/>
          <w:b w:val="1"/>
          <w:bCs w:val="1"/>
          <w:color w:val="auto"/>
        </w:rPr>
      </w:pPr>
    </w:p>
    <w:p>
      <w:pPr>
        <w:ind w:left="1000" w:hanging="503"/>
        <w:spacing w:after="0"/>
        <w:tabs>
          <w:tab w:leader="none" w:pos="1000" w:val="left"/>
        </w:tabs>
        <w:numPr>
          <w:ilvl w:val="0"/>
          <w:numId w:val="5"/>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limiting our ability to obtain additional financing to fund future working capital, capital expenditures and other general corporate requirements;</w:t>
      </w:r>
    </w:p>
    <w:p>
      <w:pPr>
        <w:spacing w:after="0" w:line="168" w:lineRule="exact"/>
        <w:rPr>
          <w:rFonts w:ascii="Arial" w:cs="Arial" w:eastAsia="Arial" w:hAnsi="Arial"/>
          <w:sz w:val="14"/>
          <w:szCs w:val="14"/>
          <w:b w:val="1"/>
          <w:bCs w:val="1"/>
          <w:color w:val="auto"/>
        </w:rPr>
      </w:pPr>
    </w:p>
    <w:p>
      <w:pPr>
        <w:ind w:left="1000" w:right="160" w:hanging="503"/>
        <w:spacing w:after="0" w:line="270" w:lineRule="auto"/>
        <w:tabs>
          <w:tab w:leader="none" w:pos="1000" w:val="left"/>
        </w:tabs>
        <w:numPr>
          <w:ilvl w:val="0"/>
          <w:numId w:val="5"/>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requiring a substantial portion of our cash flow from operations for the payment of principal of and interest on our indebtedness and thereby reducing our ability to use our cash flow to fund working capital, capital expenditures and general corporate requirements;</w:t>
      </w:r>
    </w:p>
    <w:p>
      <w:pPr>
        <w:spacing w:after="0" w:line="131" w:lineRule="exact"/>
        <w:rPr>
          <w:rFonts w:ascii="Arial" w:cs="Arial" w:eastAsia="Arial" w:hAnsi="Arial"/>
          <w:sz w:val="14"/>
          <w:szCs w:val="14"/>
          <w:b w:val="1"/>
          <w:bCs w:val="1"/>
          <w:color w:val="auto"/>
        </w:rPr>
      </w:pPr>
    </w:p>
    <w:p>
      <w:pPr>
        <w:ind w:left="1000" w:hanging="503"/>
        <w:spacing w:after="0"/>
        <w:tabs>
          <w:tab w:leader="none" w:pos="1000" w:val="left"/>
        </w:tabs>
        <w:numPr>
          <w:ilvl w:val="0"/>
          <w:numId w:val="5"/>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limiting our flexibility in planning for, or reacting to, changes in our business and the industry; and</w:t>
      </w:r>
    </w:p>
    <w:p>
      <w:pPr>
        <w:spacing w:after="0" w:line="168" w:lineRule="exact"/>
        <w:rPr>
          <w:rFonts w:ascii="Arial" w:cs="Arial" w:eastAsia="Arial" w:hAnsi="Arial"/>
          <w:sz w:val="14"/>
          <w:szCs w:val="14"/>
          <w:b w:val="1"/>
          <w:bCs w:val="1"/>
          <w:color w:val="auto"/>
        </w:rPr>
      </w:pPr>
    </w:p>
    <w:p>
      <w:pPr>
        <w:ind w:left="1000" w:hanging="503"/>
        <w:spacing w:after="0"/>
        <w:tabs>
          <w:tab w:leader="none" w:pos="1000" w:val="left"/>
        </w:tabs>
        <w:numPr>
          <w:ilvl w:val="0"/>
          <w:numId w:val="5"/>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putting us at a disadvantage compared to competitors with less indebtedness.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Changes in our credit ratings may adversely affect your investment in the New Notes.</w:t>
      </w:r>
    </w:p>
    <w:p>
      <w:pPr>
        <w:spacing w:after="0" w:line="173" w:lineRule="exact"/>
        <w:rPr>
          <w:sz w:val="20"/>
          <w:szCs w:val="20"/>
          <w:color w:val="auto"/>
        </w:rPr>
      </w:pPr>
    </w:p>
    <w:p>
      <w:pPr>
        <w:ind w:firstLine="495"/>
        <w:spacing w:after="0" w:line="276" w:lineRule="auto"/>
        <w:rPr>
          <w:sz w:val="20"/>
          <w:szCs w:val="20"/>
          <w:color w:val="auto"/>
        </w:rPr>
      </w:pPr>
      <w:r>
        <w:rPr>
          <w:rFonts w:ascii="Times New Roman" w:cs="Times New Roman" w:eastAsia="Times New Roman" w:hAnsi="Times New Roman"/>
          <w:sz w:val="13"/>
          <w:szCs w:val="13"/>
          <w:color w:val="auto"/>
        </w:rPr>
        <w:t>The credit ratings on the New Notes are an assessment by rating agencies of our ability to pay our debts when due. These ratings are not recommendations to purchase, hold or sell the New Notes, inasmuch as the ratings do not comment as to market price or suitability for a particular investor, are limited in scope, and do not address all material risks relating to an investment in the New Notes, but rather reflect only the view of each rating agency at the time the rating is issued. The ratings are based on current information furnished to the ratings agencies by us and information obtained by the ratings agencies from other sources. An explanation of the significance of such rating may be obtained from such rating agency. There can be no assurance that such credit ratings will remain in effect for any given period of time or that such ratings will not be lowered, suspended or withdrawn entirely by the rating agencies, if, in each rating agency’s judgment, circumstances so warrant.</w:t>
      </w:r>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wp:posOffset>
            </wp:positionV>
            <wp:extent cx="7164705" cy="63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6">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40"/>
          </w:cols>
          <w:pgMar w:left="300" w:top="720" w:right="359" w:bottom="1440" w:gutter="0" w:footer="0" w:header="0"/>
        </w:sectPr>
      </w:pPr>
    </w:p>
    <w:bookmarkStart w:id="22" w:name="page23"/>
    <w:bookmarkEnd w:id="22"/>
    <w:p>
      <w:pPr>
        <w:ind w:firstLine="495"/>
        <w:spacing w:after="0" w:line="254" w:lineRule="auto"/>
        <w:rPr>
          <w:sz w:val="20"/>
          <w:szCs w:val="20"/>
          <w:color w:val="auto"/>
        </w:rPr>
      </w:pPr>
      <w:r>
        <w:rPr>
          <w:rFonts w:ascii="Times New Roman" w:cs="Times New Roman" w:eastAsia="Times New Roman" w:hAnsi="Times New Roman"/>
          <w:sz w:val="14"/>
          <w:szCs w:val="14"/>
          <w:color w:val="auto"/>
        </w:rPr>
        <w:t>Any ratings of our long-term debt are based on a number of factors, including our financial strength as well as factors not entirely within our control, including conditions affecting the financial services industry generally. There can be no assurance that we will not receive adverse changes in our ratings in the future, which could adversely affect the cost and other terms upon which we are able to obtain funding and the way in which we are perceived in the capital markets. Actual or anticipated changes or downgrades in our credit ratings, including any announcement that our ratings are under review for a downgrade, could affect the market value and liquidity of the New Notes and increase our borrowing costs.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An investment in the New Notes is not an FDIC insured deposit.</w:t>
      </w:r>
    </w:p>
    <w:p>
      <w:pPr>
        <w:spacing w:after="0" w:line="173" w:lineRule="exact"/>
        <w:rPr>
          <w:sz w:val="20"/>
          <w:szCs w:val="20"/>
          <w:color w:val="auto"/>
        </w:rPr>
      </w:pPr>
    </w:p>
    <w:p>
      <w:pPr>
        <w:ind w:right="300" w:firstLine="495"/>
        <w:spacing w:after="0" w:line="271" w:lineRule="auto"/>
        <w:rPr>
          <w:sz w:val="20"/>
          <w:szCs w:val="20"/>
          <w:color w:val="auto"/>
        </w:rPr>
      </w:pPr>
      <w:r>
        <w:rPr>
          <w:rFonts w:ascii="Times New Roman" w:cs="Times New Roman" w:eastAsia="Times New Roman" w:hAnsi="Times New Roman"/>
          <w:sz w:val="14"/>
          <w:szCs w:val="14"/>
          <w:color w:val="auto"/>
        </w:rPr>
        <w:t>The New Notes are not savings accounts, deposits or other obligations of any of our bank or non-bank subsidiaries and are not insured or guaranteed by the FDIC or any other governmental agency or instrumentality. Your investment will be subject to investment risk and you may experience loss with respect to your investment.</w:t>
      </w:r>
    </w:p>
    <w:p>
      <w:pPr>
        <w:spacing w:after="0" w:line="29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wp:posOffset>
            </wp:positionV>
            <wp:extent cx="7164705" cy="63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7">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180"/>
          </w:cols>
          <w:pgMar w:left="300" w:top="724" w:right="419" w:bottom="1440" w:gutter="0" w:footer="0" w:header="0"/>
        </w:sectPr>
      </w:pPr>
    </w:p>
    <w:bookmarkStart w:id="23" w:name="page24"/>
    <w:bookmarkEnd w:id="23"/>
    <w:p>
      <w:pPr>
        <w:jc w:val="center"/>
        <w:ind w:right="-379"/>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73" w:lineRule="exact"/>
        <w:rPr>
          <w:sz w:val="20"/>
          <w:szCs w:val="20"/>
          <w:color w:val="auto"/>
        </w:rPr>
      </w:pPr>
    </w:p>
    <w:p>
      <w:pPr>
        <w:ind w:firstLine="495"/>
        <w:spacing w:after="0" w:line="271" w:lineRule="auto"/>
        <w:rPr>
          <w:sz w:val="20"/>
          <w:szCs w:val="20"/>
          <w:color w:val="auto"/>
        </w:rPr>
      </w:pPr>
      <w:r>
        <w:rPr>
          <w:rFonts w:ascii="Times New Roman" w:cs="Times New Roman" w:eastAsia="Times New Roman" w:hAnsi="Times New Roman"/>
          <w:sz w:val="14"/>
          <w:szCs w:val="14"/>
          <w:color w:val="auto"/>
        </w:rPr>
        <w:t>We will not receive any cash proceeds from the exchange offer. In consideration for issuing the New Notes as contemplated by this prospectus, we will receive in exchange Old Notes in like principal amount. We intend to cancel all Old Notes received in exchange for New Notes in the exchange offer.</w:t>
      </w:r>
    </w:p>
    <w:p>
      <w:pPr>
        <w:spacing w:after="0" w:line="29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wp:posOffset>
            </wp:positionV>
            <wp:extent cx="7164705" cy="63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8">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0900"/>
          </w:cols>
          <w:pgMar w:left="300" w:top="720" w:right="69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4"/>
          <w:szCs w:val="14"/>
          <w:b w:val="1"/>
          <w:bCs w:val="1"/>
          <w:color w:val="auto"/>
        </w:rPr>
        <w:t>THE EXCHANGE OFFER</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173" w:lineRule="exact"/>
        <w:rPr>
          <w:sz w:val="20"/>
          <w:szCs w:val="20"/>
          <w:color w:val="auto"/>
        </w:rPr>
      </w:pPr>
    </w:p>
    <w:p>
      <w:pPr>
        <w:ind w:right="140" w:firstLine="495"/>
        <w:spacing w:after="0" w:line="258" w:lineRule="auto"/>
        <w:rPr>
          <w:sz w:val="20"/>
          <w:szCs w:val="20"/>
          <w:color w:val="auto"/>
        </w:rPr>
      </w:pPr>
      <w:r>
        <w:rPr>
          <w:rFonts w:ascii="Times New Roman" w:cs="Times New Roman" w:eastAsia="Times New Roman" w:hAnsi="Times New Roman"/>
          <w:sz w:val="14"/>
          <w:szCs w:val="14"/>
          <w:color w:val="auto"/>
        </w:rPr>
        <w:t>In connection with the issuance of the Old Notes on March 12, 2026, we entered into registration rights agreements with the initial purchasers of the Old Notes, which provide for the exchange offer we are making pursuant to this prospectus. The exchange offer will permit eligible holders of Old Notes to exchange their Old Notes for New Notes that are identical in all material respects with the Old Notes, except that:</w:t>
      </w:r>
    </w:p>
    <w:p>
      <w:pPr>
        <w:spacing w:after="0" w:line="140" w:lineRule="exact"/>
        <w:rPr>
          <w:sz w:val="20"/>
          <w:szCs w:val="20"/>
          <w:color w:val="auto"/>
        </w:rPr>
      </w:pPr>
    </w:p>
    <w:p>
      <w:pPr>
        <w:ind w:left="1000" w:hanging="503"/>
        <w:spacing w:after="0"/>
        <w:tabs>
          <w:tab w:leader="none" w:pos="1000" w:val="left"/>
        </w:tabs>
        <w:numPr>
          <w:ilvl w:val="0"/>
          <w:numId w:val="6"/>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the New Notes have been registered with the SEC under the Securities Act and, as a result, will not bear any legend restricting their transfer;</w:t>
      </w:r>
    </w:p>
    <w:p>
      <w:pPr>
        <w:spacing w:after="0" w:line="168" w:lineRule="exact"/>
        <w:rPr>
          <w:rFonts w:ascii="Arial" w:cs="Arial" w:eastAsia="Arial" w:hAnsi="Arial"/>
          <w:sz w:val="14"/>
          <w:szCs w:val="14"/>
          <w:b w:val="1"/>
          <w:bCs w:val="1"/>
          <w:color w:val="auto"/>
        </w:rPr>
      </w:pPr>
    </w:p>
    <w:p>
      <w:pPr>
        <w:ind w:left="1000" w:hanging="503"/>
        <w:spacing w:after="0"/>
        <w:tabs>
          <w:tab w:leader="none" w:pos="1000" w:val="left"/>
        </w:tabs>
        <w:numPr>
          <w:ilvl w:val="0"/>
          <w:numId w:val="6"/>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the New Notes bear a different CUSIP number from the Old Notes;</w:t>
      </w:r>
    </w:p>
    <w:p>
      <w:pPr>
        <w:spacing w:after="0" w:line="168" w:lineRule="exact"/>
        <w:rPr>
          <w:rFonts w:ascii="Arial" w:cs="Arial" w:eastAsia="Arial" w:hAnsi="Arial"/>
          <w:sz w:val="14"/>
          <w:szCs w:val="14"/>
          <w:b w:val="1"/>
          <w:bCs w:val="1"/>
          <w:color w:val="auto"/>
        </w:rPr>
      </w:pPr>
    </w:p>
    <w:p>
      <w:pPr>
        <w:ind w:left="1000" w:hanging="503"/>
        <w:spacing w:after="0"/>
        <w:tabs>
          <w:tab w:leader="none" w:pos="1000" w:val="left"/>
        </w:tabs>
        <w:numPr>
          <w:ilvl w:val="0"/>
          <w:numId w:val="6"/>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the New Notes generally will not be subject to transfer restrictions;</w:t>
      </w:r>
    </w:p>
    <w:p>
      <w:pPr>
        <w:spacing w:after="0" w:line="168" w:lineRule="exact"/>
        <w:rPr>
          <w:rFonts w:ascii="Arial" w:cs="Arial" w:eastAsia="Arial" w:hAnsi="Arial"/>
          <w:sz w:val="14"/>
          <w:szCs w:val="14"/>
          <w:b w:val="1"/>
          <w:bCs w:val="1"/>
          <w:color w:val="auto"/>
        </w:rPr>
      </w:pPr>
    </w:p>
    <w:p>
      <w:pPr>
        <w:ind w:left="1000" w:hanging="503"/>
        <w:spacing w:after="0"/>
        <w:tabs>
          <w:tab w:leader="none" w:pos="1000" w:val="left"/>
        </w:tabs>
        <w:numPr>
          <w:ilvl w:val="0"/>
          <w:numId w:val="6"/>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the New Notes will not be entitled to registration rights under the registration rights agreements or otherwise; and</w:t>
      </w:r>
    </w:p>
    <w:p>
      <w:pPr>
        <w:spacing w:after="0" w:line="168" w:lineRule="exact"/>
        <w:rPr>
          <w:rFonts w:ascii="Arial" w:cs="Arial" w:eastAsia="Arial" w:hAnsi="Arial"/>
          <w:sz w:val="14"/>
          <w:szCs w:val="14"/>
          <w:b w:val="1"/>
          <w:bCs w:val="1"/>
          <w:color w:val="auto"/>
        </w:rPr>
      </w:pPr>
    </w:p>
    <w:p>
      <w:pPr>
        <w:ind w:left="1000" w:right="640" w:hanging="503"/>
        <w:spacing w:after="0" w:line="270" w:lineRule="auto"/>
        <w:tabs>
          <w:tab w:leader="none" w:pos="1000" w:val="left"/>
        </w:tabs>
        <w:numPr>
          <w:ilvl w:val="0"/>
          <w:numId w:val="6"/>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because the New Notes will not be entitled to registration rights, holders of the New Notes will not have the right to additional interest under the circumstances described in the registration rights agreements relating to our fulfillment of our registration obligations.</w:t>
      </w:r>
    </w:p>
    <w:p>
      <w:pPr>
        <w:spacing w:after="0" w:line="132" w:lineRule="exact"/>
        <w:rPr>
          <w:sz w:val="20"/>
          <w:szCs w:val="20"/>
          <w:color w:val="auto"/>
        </w:rPr>
      </w:pPr>
    </w:p>
    <w:p>
      <w:pPr>
        <w:ind w:right="60" w:firstLine="495"/>
        <w:spacing w:after="0" w:line="258" w:lineRule="auto"/>
        <w:rPr>
          <w:sz w:val="20"/>
          <w:szCs w:val="20"/>
          <w:color w:val="auto"/>
        </w:rPr>
      </w:pPr>
      <w:r>
        <w:rPr>
          <w:rFonts w:ascii="Times New Roman" w:cs="Times New Roman" w:eastAsia="Times New Roman" w:hAnsi="Times New Roman"/>
          <w:sz w:val="14"/>
          <w:szCs w:val="14"/>
          <w:color w:val="auto"/>
        </w:rPr>
        <w:t>The New Notes will evidence the same debt as the Old Notes. Holders of the New Notes will be entitled to the benefits of the indenture. Accordingly, the New Notes and the Old Notes will be treated as a single series of subordinated debt securities under the indenture. Old Notes that are not tendered for exchange in the exchange offer will remain outstanding and interest on those Old Notes will continue to accrue at the applicable interest rate and be subject to the terms of the indenture.</w:t>
      </w:r>
    </w:p>
    <w:p>
      <w:pPr>
        <w:spacing w:after="0" w:line="14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The exchange offer does not depend on any minimum aggregate principal amount of Old Notes being tendered for exchange.</w:t>
      </w:r>
    </w:p>
    <w:p>
      <w:pPr>
        <w:spacing w:after="0" w:line="169" w:lineRule="exact"/>
        <w:rPr>
          <w:sz w:val="20"/>
          <w:szCs w:val="20"/>
          <w:color w:val="auto"/>
        </w:rPr>
      </w:pPr>
    </w:p>
    <w:p>
      <w:pPr>
        <w:ind w:right="300" w:firstLine="495"/>
        <w:spacing w:after="0" w:line="271" w:lineRule="auto"/>
        <w:rPr>
          <w:sz w:val="20"/>
          <w:szCs w:val="20"/>
          <w:color w:val="auto"/>
        </w:rPr>
      </w:pPr>
      <w:r>
        <w:rPr>
          <w:rFonts w:ascii="Times New Roman" w:cs="Times New Roman" w:eastAsia="Times New Roman" w:hAnsi="Times New Roman"/>
          <w:sz w:val="14"/>
          <w:szCs w:val="14"/>
          <w:color w:val="auto"/>
        </w:rPr>
        <w:t>We intend to conduct the exchange offer in accordance with the provisions of the registration rights agreements and the applicable requirements of the Exchange Act, and the related rules and regulations of the SEC applicable to transactions of this type.</w:t>
      </w:r>
    </w:p>
    <w:p>
      <w:pPr>
        <w:spacing w:after="0" w:line="131" w:lineRule="exact"/>
        <w:rPr>
          <w:sz w:val="20"/>
          <w:szCs w:val="20"/>
          <w:color w:val="auto"/>
        </w:rPr>
      </w:pPr>
    </w:p>
    <w:p>
      <w:pPr>
        <w:ind w:right="80" w:firstLine="495"/>
        <w:spacing w:after="0" w:line="252" w:lineRule="auto"/>
        <w:rPr>
          <w:sz w:val="20"/>
          <w:szCs w:val="20"/>
          <w:color w:val="auto"/>
        </w:rPr>
      </w:pPr>
      <w:r>
        <w:rPr>
          <w:rFonts w:ascii="Times New Roman" w:cs="Times New Roman" w:eastAsia="Times New Roman" w:hAnsi="Times New Roman"/>
          <w:sz w:val="14"/>
          <w:szCs w:val="14"/>
          <w:color w:val="auto"/>
        </w:rPr>
        <w:t>We will be deemed to have accepted validly tendered Old Notes when and if we have given oral or written notice to the exchange agent of our acceptance of such Old Notes. Subject to the terms and conditions of this exchange offer, delivery of New Notes will be made by the exchange agent promptly after receipt of our notice of acceptance. The exchange agent will act as agent for the holders of Old Notes tendering their Old Notes for the purpose of receiving New Notes from us in exchange for such tendered and accepted Old Notes. If any tendered Old Notes are not accepted for exchange because of an invalid tender, the occurrence of other events described in this prospectus or otherwise, we will return or cause to be returned the certificates for any unaccepted Old Notes, at our expense, to the tendering holder promptly after the expiration of the exchange offer.</w:t>
      </w:r>
    </w:p>
    <w:p>
      <w:pPr>
        <w:spacing w:after="0" w:line="144" w:lineRule="exact"/>
        <w:rPr>
          <w:sz w:val="20"/>
          <w:szCs w:val="20"/>
          <w:color w:val="auto"/>
        </w:rPr>
      </w:pPr>
    </w:p>
    <w:p>
      <w:pPr>
        <w:ind w:right="140" w:firstLine="495"/>
        <w:spacing w:after="0" w:line="254" w:lineRule="auto"/>
        <w:rPr>
          <w:sz w:val="20"/>
          <w:szCs w:val="20"/>
          <w:color w:val="auto"/>
        </w:rPr>
      </w:pPr>
      <w:r>
        <w:rPr>
          <w:rFonts w:ascii="Times New Roman" w:cs="Times New Roman" w:eastAsia="Times New Roman" w:hAnsi="Times New Roman"/>
          <w:sz w:val="14"/>
          <w:szCs w:val="14"/>
          <w:color w:val="auto"/>
        </w:rPr>
        <w:t xml:space="preserve">If a holder of Old Notes validly tenders Old Notes in the exchange offer, the tendering holder will not be required to pay us brokerage commissions or fees. In addition, subject to the instructions in such letter of transmittal and certain limited exceptions described in this prospectus, the tendering holder will not have to pay transfer taxes for the exchange of Old Notes. Subject to certain exceptions described in this prospectus, we will pay all of the expenses in connection with the exchange offer, other than certain applicable taxes. See the section entitled “— </w:t>
      </w:r>
      <w:r>
        <w:rPr>
          <w:rFonts w:ascii="Times New Roman" w:cs="Times New Roman" w:eastAsia="Times New Roman" w:hAnsi="Times New Roman"/>
          <w:sz w:val="14"/>
          <w:szCs w:val="14"/>
          <w:i w:val="1"/>
          <w:iCs w:val="1"/>
          <w:color w:val="auto"/>
        </w:rPr>
        <w:t>Fees and Expenses</w:t>
      </w:r>
      <w:r>
        <w:rPr>
          <w:rFonts w:ascii="Times New Roman" w:cs="Times New Roman" w:eastAsia="Times New Roman" w:hAnsi="Times New Roman"/>
          <w:sz w:val="14"/>
          <w:szCs w:val="14"/>
          <w:color w:val="auto"/>
        </w:rPr>
        <w:t>” beginning on page 28.</w:t>
      </w:r>
    </w:p>
    <w:p>
      <w:pPr>
        <w:spacing w:after="0" w:line="143" w:lineRule="exact"/>
        <w:rPr>
          <w:sz w:val="20"/>
          <w:szCs w:val="20"/>
          <w:color w:val="auto"/>
        </w:rPr>
      </w:pPr>
    </w:p>
    <w:p>
      <w:pPr>
        <w:ind w:firstLine="495"/>
        <w:spacing w:after="0" w:line="258" w:lineRule="auto"/>
        <w:rPr>
          <w:sz w:val="20"/>
          <w:szCs w:val="20"/>
          <w:color w:val="auto"/>
        </w:rPr>
      </w:pPr>
      <w:r>
        <w:rPr>
          <w:rFonts w:ascii="Times New Roman" w:cs="Times New Roman" w:eastAsia="Times New Roman" w:hAnsi="Times New Roman"/>
          <w:sz w:val="14"/>
          <w:szCs w:val="14"/>
          <w:color w:val="auto"/>
        </w:rPr>
        <w:t>Holders of outstanding Old Notes do not have any appraisal, dissenters’ or similar rights in connection with the exchange offer. Outstanding Old Notes which are not tendered, or are tendered but not accepted, in connection with the exchange offer will remain outstanding. See the section entitled “</w:t>
      </w:r>
      <w:r>
        <w:rPr>
          <w:rFonts w:ascii="Times New Roman" w:cs="Times New Roman" w:eastAsia="Times New Roman" w:hAnsi="Times New Roman"/>
          <w:sz w:val="14"/>
          <w:szCs w:val="14"/>
          <w:i w:val="1"/>
          <w:iCs w:val="1"/>
          <w:color w:val="auto"/>
        </w:rPr>
        <w:t>Risk Factors — Risks Related to the Exchange Offer — If you do not validly tender your Old Notes, you</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will continue to hold unregistered Old Notes and your ability to transfer Old Notes will be limited</w:t>
      </w:r>
      <w:r>
        <w:rPr>
          <w:rFonts w:ascii="Times New Roman" w:cs="Times New Roman" w:eastAsia="Times New Roman" w:hAnsi="Times New Roman"/>
          <w:sz w:val="14"/>
          <w:szCs w:val="14"/>
          <w:color w:val="auto"/>
        </w:rPr>
        <w:t>” beginning on page 13.</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wp:posOffset>
            </wp:positionV>
            <wp:extent cx="7164705" cy="63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9">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720" w:right="319" w:bottom="1440" w:gutter="0" w:footer="0" w:header="0"/>
        </w:sectPr>
      </w:pPr>
    </w:p>
    <w:bookmarkStart w:id="25" w:name="page26"/>
    <w:bookmarkEnd w:id="25"/>
    <w:p>
      <w:pPr>
        <w:ind w:right="40" w:firstLine="495"/>
        <w:spacing w:after="0" w:line="252" w:lineRule="auto"/>
        <w:rPr>
          <w:sz w:val="20"/>
          <w:szCs w:val="20"/>
          <w:color w:val="auto"/>
        </w:rPr>
      </w:pPr>
      <w:r>
        <w:rPr>
          <w:rFonts w:ascii="Times New Roman" w:cs="Times New Roman" w:eastAsia="Times New Roman" w:hAnsi="Times New Roman"/>
          <w:sz w:val="14"/>
          <w:szCs w:val="14"/>
          <w:b w:val="1"/>
          <w:bCs w:val="1"/>
          <w:color w:val="auto"/>
        </w:rPr>
        <w:t>NEITHER WE NOR THE EXCHANGE AGENT ARE MAKING ANY RECOMMENDATION TO THE HOLDERS OF THE OUTSTANDING OLD NOTES AS TO WHETHER TO TENDER OR REFRAIN FROM TENDERING ALL OR ANY PORTION OF THEIR OUTSTANDING OLD NOTES IN THE EXCHANGE OFFER. IN ADDITION, NEITHER WE NOR THE EXCHANGE AGENT HAVE AUTHORIZED ANYONE TO MAKE ANY SUCH RECOMMENDATION. HOLDERS OF THE OUTSTANDING OLD NOTES MUST MAKE THEIR OWN DECISION WHETHER TO TENDER PURSUANT TO THE EXCHANGE OFFER, AND, IF SO, THE AGGREGATE PRINCIPAL AMOUNT OF OUTSTANDING OLD NOTES TO TENDER AFTER READING THIS PROSPECTUS AND THE LETTER OF TRANSMITTAL AND CONSULTING WITH THEIR ADVISERS, IF ANY, BASED ON THEIR FINANCIAL POSITION AND INDIVIDUAL REQUIREMENTS.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Registration Rights Agreement</w:t>
      </w:r>
    </w:p>
    <w:p>
      <w:pPr>
        <w:spacing w:after="0" w:line="173" w:lineRule="exact"/>
        <w:rPr>
          <w:sz w:val="20"/>
          <w:szCs w:val="20"/>
          <w:color w:val="auto"/>
        </w:rPr>
      </w:pPr>
    </w:p>
    <w:p>
      <w:pPr>
        <w:ind w:right="100" w:firstLine="495"/>
        <w:spacing w:after="0" w:line="258" w:lineRule="auto"/>
        <w:rPr>
          <w:sz w:val="20"/>
          <w:szCs w:val="20"/>
          <w:color w:val="auto"/>
        </w:rPr>
      </w:pPr>
      <w:r>
        <w:rPr>
          <w:rFonts w:ascii="Times New Roman" w:cs="Times New Roman" w:eastAsia="Times New Roman" w:hAnsi="Times New Roman"/>
          <w:sz w:val="14"/>
          <w:szCs w:val="14"/>
          <w:color w:val="auto"/>
        </w:rPr>
        <w:t>We issued the Old Notes in a private placement exempt from the registration requirements under the Securities Act and applicable state securities laws. In connection with the issuance of the Old Notes, we entered into registration rights agreements with the initial purchasers of the Old Notes, and we are making the exchange offer to comply with our contractual obligations under the registration rights agreements.</w:t>
      </w:r>
    </w:p>
    <w:p>
      <w:pPr>
        <w:spacing w:after="0" w:line="140" w:lineRule="exact"/>
        <w:rPr>
          <w:sz w:val="20"/>
          <w:szCs w:val="20"/>
          <w:color w:val="auto"/>
        </w:rPr>
      </w:pPr>
    </w:p>
    <w:p>
      <w:pPr>
        <w:ind w:right="40" w:firstLine="495"/>
        <w:spacing w:after="0" w:line="271" w:lineRule="auto"/>
        <w:rPr>
          <w:sz w:val="20"/>
          <w:szCs w:val="20"/>
          <w:color w:val="auto"/>
        </w:rPr>
      </w:pPr>
      <w:r>
        <w:rPr>
          <w:rFonts w:ascii="Times New Roman" w:cs="Times New Roman" w:eastAsia="Times New Roman" w:hAnsi="Times New Roman"/>
          <w:sz w:val="14"/>
          <w:szCs w:val="14"/>
          <w:color w:val="auto"/>
        </w:rPr>
        <w:t>The following provides a summary of certain terms of the registration rights agreements. This summary is qualified in its entirety by reference to the complete registration rights agreement, which is incorporated by reference as an exhibit to the registration statement of which this prospectus is a part.</w:t>
      </w:r>
    </w:p>
    <w:p>
      <w:pPr>
        <w:spacing w:after="0" w:line="131" w:lineRule="exact"/>
        <w:rPr>
          <w:sz w:val="20"/>
          <w:szCs w:val="20"/>
          <w:color w:val="auto"/>
        </w:rPr>
      </w:pPr>
    </w:p>
    <w:p>
      <w:pPr>
        <w:ind w:firstLine="495"/>
        <w:spacing w:after="0" w:line="258" w:lineRule="auto"/>
        <w:rPr>
          <w:sz w:val="20"/>
          <w:szCs w:val="20"/>
          <w:color w:val="auto"/>
        </w:rPr>
      </w:pPr>
      <w:r>
        <w:rPr>
          <w:rFonts w:ascii="Times New Roman" w:cs="Times New Roman" w:eastAsia="Times New Roman" w:hAnsi="Times New Roman"/>
          <w:sz w:val="14"/>
          <w:szCs w:val="14"/>
          <w:color w:val="auto"/>
        </w:rPr>
        <w:t>Under the terms of the registration rights agreements that we entered into with the purchasers of the Old Notes at the time we issued the Old Notes, we agreed to register the New Notes and undertake this exchange offer. This exchange offer is intended to satisfy the rights of holders of Old Notes under those registration rights agreements. After the exchange offer is completed, we will have no further obligations, except under the limited circumstances described below, to provide for any exchange or undertake any further registration with respect to the Old Notes.</w:t>
      </w:r>
    </w:p>
    <w:p>
      <w:pPr>
        <w:spacing w:after="0" w:line="14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Under the terms of the registration rights agreements, we agreed, among other things, to use commercially reasonable efforts to:</w:t>
      </w:r>
    </w:p>
    <w:p>
      <w:pPr>
        <w:spacing w:after="0" w:line="169" w:lineRule="exact"/>
        <w:rPr>
          <w:sz w:val="20"/>
          <w:szCs w:val="20"/>
          <w:color w:val="auto"/>
        </w:rPr>
      </w:pPr>
    </w:p>
    <w:p>
      <w:pPr>
        <w:ind w:left="1000" w:right="80" w:hanging="503"/>
        <w:spacing w:after="0" w:line="270" w:lineRule="auto"/>
        <w:tabs>
          <w:tab w:leader="none" w:pos="1000" w:val="left"/>
        </w:tabs>
        <w:numPr>
          <w:ilvl w:val="0"/>
          <w:numId w:val="7"/>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file a registration statement with the SEC under the Securities Act with respect to a registered offer to exchange the Old Notes for substantially identical notes that do not contain transfer restrictions and will be registered under the Securities Act;</w:t>
      </w:r>
    </w:p>
    <w:p>
      <w:pPr>
        <w:spacing w:after="0" w:line="131" w:lineRule="exact"/>
        <w:rPr>
          <w:rFonts w:ascii="Arial" w:cs="Arial" w:eastAsia="Arial" w:hAnsi="Arial"/>
          <w:sz w:val="14"/>
          <w:szCs w:val="14"/>
          <w:b w:val="1"/>
          <w:bCs w:val="1"/>
          <w:color w:val="auto"/>
        </w:rPr>
      </w:pPr>
    </w:p>
    <w:p>
      <w:pPr>
        <w:ind w:left="1000" w:hanging="503"/>
        <w:spacing w:after="0"/>
        <w:tabs>
          <w:tab w:leader="none" w:pos="1000" w:val="left"/>
        </w:tabs>
        <w:numPr>
          <w:ilvl w:val="0"/>
          <w:numId w:val="7"/>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cause that registration statement to become effective no later than one hundred fifty (150) days after March 12, 2026; and</w:t>
      </w:r>
    </w:p>
    <w:p>
      <w:pPr>
        <w:spacing w:after="0" w:line="168" w:lineRule="exact"/>
        <w:rPr>
          <w:rFonts w:ascii="Arial" w:cs="Arial" w:eastAsia="Arial" w:hAnsi="Arial"/>
          <w:sz w:val="14"/>
          <w:szCs w:val="14"/>
          <w:b w:val="1"/>
          <w:bCs w:val="1"/>
          <w:color w:val="auto"/>
        </w:rPr>
      </w:pPr>
    </w:p>
    <w:p>
      <w:pPr>
        <w:ind w:left="1000" w:hanging="503"/>
        <w:spacing w:after="0"/>
        <w:tabs>
          <w:tab w:leader="none" w:pos="1000" w:val="left"/>
        </w:tabs>
        <w:numPr>
          <w:ilvl w:val="0"/>
          <w:numId w:val="7"/>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consummate the exchange offer no later than forty-five (45) days after the effective date of that registration statement.</w:t>
      </w:r>
    </w:p>
    <w:p>
      <w:pPr>
        <w:spacing w:after="0" w:line="168" w:lineRule="exact"/>
        <w:rPr>
          <w:sz w:val="20"/>
          <w:szCs w:val="20"/>
          <w:color w:val="auto"/>
        </w:rPr>
      </w:pPr>
    </w:p>
    <w:p>
      <w:pPr>
        <w:ind w:right="220" w:firstLine="495"/>
        <w:spacing w:after="0" w:line="271" w:lineRule="auto"/>
        <w:rPr>
          <w:sz w:val="20"/>
          <w:szCs w:val="20"/>
          <w:color w:val="auto"/>
        </w:rPr>
      </w:pPr>
      <w:r>
        <w:rPr>
          <w:rFonts w:ascii="Times New Roman" w:cs="Times New Roman" w:eastAsia="Times New Roman" w:hAnsi="Times New Roman"/>
          <w:sz w:val="14"/>
          <w:szCs w:val="14"/>
          <w:color w:val="auto"/>
        </w:rPr>
        <w:t>The registration rights agreements also require us to commence the exchange offer promptly after the effectiveness of the registration statement and to keep the exchange offer open for not less than twenty (20) business days, or longer if required by applicable law, after the date on which notice of the exchange offer is mailed to the holders of the Old Notes.</w:t>
      </w:r>
    </w:p>
    <w:p>
      <w:pPr>
        <w:spacing w:after="0" w:line="131" w:lineRule="exact"/>
        <w:rPr>
          <w:sz w:val="20"/>
          <w:szCs w:val="20"/>
          <w:color w:val="auto"/>
        </w:rPr>
      </w:pPr>
    </w:p>
    <w:p>
      <w:pPr>
        <w:ind w:right="160" w:firstLine="495"/>
        <w:spacing w:after="0" w:line="254" w:lineRule="auto"/>
        <w:rPr>
          <w:sz w:val="20"/>
          <w:szCs w:val="20"/>
          <w:color w:val="auto"/>
        </w:rPr>
      </w:pPr>
      <w:r>
        <w:rPr>
          <w:rFonts w:ascii="Times New Roman" w:cs="Times New Roman" w:eastAsia="Times New Roman" w:hAnsi="Times New Roman"/>
          <w:sz w:val="14"/>
          <w:szCs w:val="14"/>
          <w:color w:val="auto"/>
        </w:rPr>
        <w:t>We also agreed to issue and exchange New Notes for all Old Notes duly tendered and not validly withdrawn before the expiration of the exchange offer. We are sending this prospectus, together with a letter of transmittal for book-entry notes, to all the holders of the Old Notes known to us. For each Old Note validly tendered to us in the exchange offer and not validly withdrawn, the holder will receive a New Note having a principal amount equal to the principal amount of the tendered Old Note. Old Notes may be exchanged, and New Notes will be issued, only in minimum denominations of $100,000 and integral multiples of $1,000 in excess thereof.</w:t>
      </w:r>
    </w:p>
    <w:p>
      <w:pPr>
        <w:spacing w:after="0" w:line="143" w:lineRule="exact"/>
        <w:rPr>
          <w:sz w:val="20"/>
          <w:szCs w:val="20"/>
          <w:color w:val="auto"/>
        </w:rPr>
      </w:pPr>
    </w:p>
    <w:p>
      <w:pPr>
        <w:ind w:right="40" w:firstLine="495"/>
        <w:spacing w:after="0" w:line="271" w:lineRule="auto"/>
        <w:rPr>
          <w:sz w:val="20"/>
          <w:szCs w:val="20"/>
          <w:color w:val="auto"/>
        </w:rPr>
      </w:pPr>
      <w:r>
        <w:rPr>
          <w:rFonts w:ascii="Times New Roman" w:cs="Times New Roman" w:eastAsia="Times New Roman" w:hAnsi="Times New Roman"/>
          <w:sz w:val="14"/>
          <w:szCs w:val="14"/>
          <w:color w:val="auto"/>
        </w:rPr>
        <w:t>We further agreed that under certain circumstances we would either file a shelf registration statement with the SEC or designate an existing effective shelf registration statement of ours that would allow resales by certain holders of the Old Notes in lieu of such holders participating in the exchange offer.</w:t>
      </w:r>
    </w:p>
    <w:p>
      <w:pPr>
        <w:spacing w:after="0" w:line="2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wp:posOffset>
            </wp:positionV>
            <wp:extent cx="7164705" cy="63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0">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60"/>
          </w:cols>
          <w:pgMar w:left="300" w:top="720"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color w:val="auto"/>
        </w:rPr>
        <w:t>Eligibility; Transferability</w:t>
      </w:r>
    </w:p>
    <w:p>
      <w:pPr>
        <w:spacing w:after="0" w:line="173" w:lineRule="exact"/>
        <w:rPr>
          <w:sz w:val="20"/>
          <w:szCs w:val="20"/>
          <w:color w:val="auto"/>
        </w:rPr>
      </w:pPr>
    </w:p>
    <w:p>
      <w:pPr>
        <w:ind w:right="100" w:firstLine="495"/>
        <w:spacing w:after="0" w:line="252" w:lineRule="auto"/>
        <w:rPr>
          <w:sz w:val="20"/>
          <w:szCs w:val="20"/>
          <w:color w:val="auto"/>
        </w:rPr>
      </w:pPr>
      <w:r>
        <w:rPr>
          <w:rFonts w:ascii="Times New Roman" w:cs="Times New Roman" w:eastAsia="Times New Roman" w:hAnsi="Times New Roman"/>
          <w:sz w:val="14"/>
          <w:szCs w:val="14"/>
          <w:color w:val="auto"/>
        </w:rPr>
        <w:t>We are making the exchange offer in reliance on interpretations of the staff of the SEC set forth in several no-action letters provided to other parties. We have not sought or received our own no-action letter from the staff of the SEC with respect to the exchange offer and the related transactions, and there can be no assurance that the staff of the SEC will make a determination in the case of the exchange offer and such transactions that is similar to its determinations in the above mentioned no-action letters. However, based on these existing SEC staff interpretations, we believe that you, or any other person receiving New Notes, may offer for resale, resell or otherwise transfer the New Notes without complying with the registration and prospectus delivery requirements of the U.S. federal securities laws, provided that:</w:t>
      </w:r>
    </w:p>
    <w:p>
      <w:pPr>
        <w:spacing w:after="0" w:line="144" w:lineRule="exact"/>
        <w:rPr>
          <w:sz w:val="20"/>
          <w:szCs w:val="20"/>
          <w:color w:val="auto"/>
        </w:rPr>
      </w:pPr>
    </w:p>
    <w:p>
      <w:pPr>
        <w:ind w:left="1000" w:hanging="503"/>
        <w:spacing w:after="0"/>
        <w:tabs>
          <w:tab w:leader="none" w:pos="1000" w:val="left"/>
        </w:tabs>
        <w:numPr>
          <w:ilvl w:val="0"/>
          <w:numId w:val="8"/>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you are not, nor is any such person, an “affiliate” of ours within the meaning of Rule 405 under the Securities Act;</w:t>
      </w:r>
    </w:p>
    <w:p>
      <w:pPr>
        <w:spacing w:after="0" w:line="168" w:lineRule="exact"/>
        <w:rPr>
          <w:rFonts w:ascii="Arial" w:cs="Arial" w:eastAsia="Arial" w:hAnsi="Arial"/>
          <w:sz w:val="14"/>
          <w:szCs w:val="14"/>
          <w:b w:val="1"/>
          <w:bCs w:val="1"/>
          <w:color w:val="auto"/>
        </w:rPr>
      </w:pPr>
    </w:p>
    <w:p>
      <w:pPr>
        <w:ind w:left="1000" w:hanging="503"/>
        <w:spacing w:after="0"/>
        <w:tabs>
          <w:tab w:leader="none" w:pos="1000" w:val="left"/>
        </w:tabs>
        <w:numPr>
          <w:ilvl w:val="0"/>
          <w:numId w:val="8"/>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you are, or the person receiving the New Notes is, acquiring the New Notes in the ordinary course of business;</w:t>
      </w:r>
    </w:p>
    <w:p>
      <w:pPr>
        <w:spacing w:after="0" w:line="168" w:lineRule="exact"/>
        <w:rPr>
          <w:rFonts w:ascii="Arial" w:cs="Arial" w:eastAsia="Arial" w:hAnsi="Arial"/>
          <w:sz w:val="14"/>
          <w:szCs w:val="14"/>
          <w:b w:val="1"/>
          <w:bCs w:val="1"/>
          <w:color w:val="auto"/>
        </w:rPr>
      </w:pPr>
    </w:p>
    <w:p>
      <w:pPr>
        <w:ind w:left="1000" w:right="320" w:hanging="503"/>
        <w:spacing w:after="0" w:line="270" w:lineRule="auto"/>
        <w:tabs>
          <w:tab w:leader="none" w:pos="1000" w:val="left"/>
        </w:tabs>
        <w:numPr>
          <w:ilvl w:val="0"/>
          <w:numId w:val="8"/>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you do not, nor does any such person, have an arrangement or understanding with any person to participate in any distribution (within the meaning of the Securities Act) of the New Notes;</w:t>
      </w:r>
    </w:p>
    <w:p>
      <w:pPr>
        <w:spacing w:after="0" w:line="131" w:lineRule="exact"/>
        <w:rPr>
          <w:rFonts w:ascii="Arial" w:cs="Arial" w:eastAsia="Arial" w:hAnsi="Arial"/>
          <w:sz w:val="14"/>
          <w:szCs w:val="14"/>
          <w:b w:val="1"/>
          <w:bCs w:val="1"/>
          <w:color w:val="auto"/>
        </w:rPr>
      </w:pPr>
    </w:p>
    <w:p>
      <w:pPr>
        <w:ind w:left="1000" w:right="160" w:hanging="503"/>
        <w:spacing w:after="0" w:line="270" w:lineRule="auto"/>
        <w:tabs>
          <w:tab w:leader="none" w:pos="1000" w:val="left"/>
        </w:tabs>
        <w:numPr>
          <w:ilvl w:val="0"/>
          <w:numId w:val="8"/>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you are not, nor is any such person, a broker-dealer registered under the Exchange Act, and you are not engaged in and do not intend to engage in, nor is any such person engaged in or intending to engage in, any distribution (within the meaning of the Securities Act) of the New Notes; and</w:t>
      </w:r>
    </w:p>
    <w:p>
      <w:pPr>
        <w:spacing w:after="0" w:line="131" w:lineRule="exact"/>
        <w:rPr>
          <w:rFonts w:ascii="Arial" w:cs="Arial" w:eastAsia="Arial" w:hAnsi="Arial"/>
          <w:sz w:val="14"/>
          <w:szCs w:val="14"/>
          <w:b w:val="1"/>
          <w:bCs w:val="1"/>
          <w:color w:val="auto"/>
        </w:rPr>
      </w:pPr>
    </w:p>
    <w:p>
      <w:pPr>
        <w:ind w:left="1000" w:hanging="503"/>
        <w:spacing w:after="0"/>
        <w:tabs>
          <w:tab w:leader="none" w:pos="1000" w:val="left"/>
        </w:tabs>
        <w:numPr>
          <w:ilvl w:val="0"/>
          <w:numId w:val="8"/>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you are not acting on behalf of any person who could not truthfully make these statements.</w:t>
      </w:r>
    </w:p>
    <w:p>
      <w:pPr>
        <w:spacing w:after="0" w:line="1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To participate in the exchange offer, you must represent as a holder of Old Notes that each of these statements is true.</w:t>
      </w:r>
    </w:p>
    <w:p>
      <w:pPr>
        <w:spacing w:after="0" w:line="169" w:lineRule="exact"/>
        <w:rPr>
          <w:sz w:val="20"/>
          <w:szCs w:val="20"/>
          <w:color w:val="auto"/>
        </w:rPr>
      </w:pPr>
    </w:p>
    <w:p>
      <w:pPr>
        <w:ind w:firstLine="495"/>
        <w:spacing w:after="0" w:line="249" w:lineRule="auto"/>
        <w:rPr>
          <w:sz w:val="20"/>
          <w:szCs w:val="20"/>
          <w:color w:val="auto"/>
        </w:rPr>
      </w:pPr>
      <w:r>
        <w:rPr>
          <w:rFonts w:ascii="Times New Roman" w:cs="Times New Roman" w:eastAsia="Times New Roman" w:hAnsi="Times New Roman"/>
          <w:sz w:val="14"/>
          <w:szCs w:val="14"/>
          <w:color w:val="auto"/>
        </w:rPr>
        <w:t>In addition, in order for broker-dealers registered under the Exchange Act to participate in the exchange offer, each such broker-dealer must also (i) represent that it is participating in the exchange offer for its own account and is exchanging Old Notes acquired as a result of market-making activities or other trading activities; (ii) confirm that it has not entered into any arrangement or understanding with us or any of our affiliates to distribute the New Notes; and (iii) acknowledge that it will deliver a prospectus meeting the requirements of the Securities Act in connection with any resale of the New Notes. The letter of transmittal to be delivered in connection with a tender of the Old Notes states that by acknowledging that it will deliver, and by delivering, a prospectus, a broker-dealer will not be deemed to admit that it is an underwriter within the meaning of the Securities Act. This prospectus, as it may be amended or supplemented from time to time, may be used by a broker-dealer in connection with resale of the New Notes received in exchange for the Old Notes where such Old Notes were acquired by such broker-dealer as a result of market-making activities or other trading activities. We have agreed that, for a period of one hundred eighty (180) days following the expiration date of the exchange offer, we will amend or supplement this prospectus to expedite or facilitate the disposition of any New Notes by such broker-dealers.</w:t>
      </w:r>
    </w:p>
    <w:p>
      <w:pPr>
        <w:spacing w:after="0" w:line="14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3"/>
          <w:szCs w:val="13"/>
          <w:color w:val="auto"/>
        </w:rPr>
        <w:t>Any holder of Old Notes (i) who is our “affiliate” (as such term is defined under Rule 405 under the Securities Act), (ii) who does not acquire the New Notes in the ordinary course of business,</w:t>
      </w:r>
    </w:p>
    <w:p>
      <w:pPr>
        <w:spacing w:after="0" w:line="29" w:lineRule="exact"/>
        <w:rPr>
          <w:sz w:val="20"/>
          <w:szCs w:val="20"/>
          <w:color w:val="auto"/>
        </w:rPr>
      </w:pPr>
    </w:p>
    <w:p>
      <w:pPr>
        <w:ind w:left="240" w:hanging="238"/>
        <w:spacing w:after="0"/>
        <w:tabs>
          <w:tab w:leader="none" w:pos="2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who intends to participate in the exchange offer for the purpose of distributing the New Notes, or (iv) who is a broker-dealer that purchased the Old Notes directly from us:</w:t>
      </w:r>
    </w:p>
    <w:p>
      <w:pPr>
        <w:spacing w:after="0" w:line="155" w:lineRule="exact"/>
        <w:rPr>
          <w:rFonts w:ascii="Times New Roman" w:cs="Times New Roman" w:eastAsia="Times New Roman" w:hAnsi="Times New Roman"/>
          <w:sz w:val="14"/>
          <w:szCs w:val="14"/>
          <w:color w:val="auto"/>
        </w:rPr>
      </w:pPr>
    </w:p>
    <w:p>
      <w:pPr>
        <w:ind w:left="1000" w:hanging="503"/>
        <w:spacing w:after="0"/>
        <w:tabs>
          <w:tab w:leader="none" w:pos="1000" w:val="left"/>
        </w:tabs>
        <w:numPr>
          <w:ilvl w:val="1"/>
          <w:numId w:val="9"/>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will not be able to rely on the interpretation of the staff of the SEC set forth in the no-action letters described above;</w:t>
      </w:r>
    </w:p>
    <w:p>
      <w:pPr>
        <w:spacing w:after="0" w:line="168" w:lineRule="exact"/>
        <w:rPr>
          <w:rFonts w:ascii="Arial" w:cs="Arial" w:eastAsia="Arial" w:hAnsi="Arial"/>
          <w:sz w:val="14"/>
          <w:szCs w:val="14"/>
          <w:b w:val="1"/>
          <w:bCs w:val="1"/>
          <w:color w:val="auto"/>
        </w:rPr>
      </w:pPr>
    </w:p>
    <w:p>
      <w:pPr>
        <w:ind w:left="1000" w:hanging="503"/>
        <w:spacing w:after="0"/>
        <w:tabs>
          <w:tab w:leader="none" w:pos="1000" w:val="left"/>
        </w:tabs>
        <w:numPr>
          <w:ilvl w:val="1"/>
          <w:numId w:val="9"/>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will not be able to tender Old Notes in the exchange offer; and</w:t>
      </w:r>
    </w:p>
    <w:p>
      <w:pPr>
        <w:spacing w:after="0" w:line="168" w:lineRule="exact"/>
        <w:rPr>
          <w:rFonts w:ascii="Arial" w:cs="Arial" w:eastAsia="Arial" w:hAnsi="Arial"/>
          <w:sz w:val="14"/>
          <w:szCs w:val="14"/>
          <w:b w:val="1"/>
          <w:bCs w:val="1"/>
          <w:color w:val="auto"/>
        </w:rPr>
      </w:pPr>
    </w:p>
    <w:p>
      <w:pPr>
        <w:ind w:left="1000" w:right="60" w:hanging="503"/>
        <w:spacing w:after="0" w:line="270" w:lineRule="auto"/>
        <w:tabs>
          <w:tab w:leader="none" w:pos="1000" w:val="left"/>
        </w:tabs>
        <w:numPr>
          <w:ilvl w:val="1"/>
          <w:numId w:val="9"/>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must comply with the registration and prospectus delivery requirements of the Securities Act in connection with any sale or transfer of the New Notes, unless the sale or transfer is made pursuant to an exemption from those requirements.</w:t>
      </w:r>
    </w:p>
    <w:p>
      <w:pPr>
        <w:spacing w:after="0" w:line="2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wp:posOffset>
            </wp:positionV>
            <wp:extent cx="7164705" cy="63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1">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20"/>
          </w:cols>
          <w:pgMar w:left="300" w:top="720" w:right="379" w:bottom="1440" w:gutter="0" w:footer="0" w:header="0"/>
        </w:sectPr>
      </w:pPr>
    </w:p>
    <w:bookmarkStart w:id="27" w:name="page28"/>
    <w:bookmarkEnd w:id="27"/>
    <w:p>
      <w:pPr>
        <w:ind w:firstLine="495"/>
        <w:spacing w:after="0" w:line="271" w:lineRule="auto"/>
        <w:rPr>
          <w:sz w:val="20"/>
          <w:szCs w:val="20"/>
          <w:color w:val="auto"/>
        </w:rPr>
      </w:pPr>
      <w:r>
        <w:rPr>
          <w:rFonts w:ascii="Times New Roman" w:cs="Times New Roman" w:eastAsia="Times New Roman" w:hAnsi="Times New Roman"/>
          <w:sz w:val="14"/>
          <w:szCs w:val="14"/>
          <w:color w:val="auto"/>
        </w:rPr>
        <w:t>The exchange offer is not being made to, nor will we accept tenders for exchange from, holders of Old Notes in any jurisdiction in which the exchange offer or the acceptance of the exchange offer would not be in compliance with the securities or blue sky laws of such jurisdiction.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Expiration of the Exchange Offer; Extensions; Amendments</w:t>
      </w:r>
    </w:p>
    <w:p>
      <w:pPr>
        <w:spacing w:after="0" w:line="181" w:lineRule="exact"/>
        <w:rPr>
          <w:sz w:val="20"/>
          <w:szCs w:val="20"/>
          <w:color w:val="auto"/>
        </w:rPr>
      </w:pPr>
    </w:p>
    <w:p>
      <w:pPr>
        <w:ind w:right="40" w:firstLine="495"/>
        <w:spacing w:after="0" w:line="254" w:lineRule="auto"/>
        <w:rPr>
          <w:sz w:val="20"/>
          <w:szCs w:val="20"/>
          <w:color w:val="auto"/>
        </w:rPr>
      </w:pPr>
      <w:r>
        <w:rPr>
          <w:rFonts w:ascii="Times New Roman" w:cs="Times New Roman" w:eastAsia="Times New Roman" w:hAnsi="Times New Roman"/>
          <w:sz w:val="14"/>
          <w:szCs w:val="14"/>
          <w:color w:val="auto"/>
        </w:rPr>
        <w:t>The exchange offer will expire at 11:59 p.m., New York City time on [</w:t>
      </w:r>
      <w:r>
        <w:rPr>
          <w:rFonts w:ascii="Arial" w:cs="Arial" w:eastAsia="Arial" w:hAnsi="Arial"/>
          <w:sz w:val="14"/>
          <w:szCs w:val="14"/>
          <w:b w:val="1"/>
          <w:bCs w:val="1"/>
          <w:color w:val="auto"/>
        </w:rPr>
        <w:t>·</w:t>
      </w:r>
      <w:r>
        <w:rPr>
          <w:rFonts w:ascii="Times New Roman" w:cs="Times New Roman" w:eastAsia="Times New Roman" w:hAnsi="Times New Roman"/>
          <w:sz w:val="14"/>
          <w:szCs w:val="14"/>
          <w:color w:val="auto"/>
        </w:rPr>
        <w:t>], 2026, which we refer to as the expiration date, unless we extend the exchange offer. If we extend the exchange offer, the expiration date will be the latest date and time to which the exchange offer is extended. To extend the exchange offer, we will notify the exchange agent and each registered holder of the Old Notes of any extension before 9:00 a.m., New York City time on the next business day after the previously scheduled expiration date. During any such extension, all Old Notes previously tendered will remain subject to the exchange offer and may be accepted for exchange by us.</w:t>
      </w:r>
    </w:p>
    <w:p>
      <w:pPr>
        <w:spacing w:after="0" w:line="140" w:lineRule="exact"/>
        <w:rPr>
          <w:sz w:val="20"/>
          <w:szCs w:val="20"/>
          <w:color w:val="auto"/>
        </w:rPr>
      </w:pPr>
    </w:p>
    <w:p>
      <w:pPr>
        <w:ind w:right="120" w:firstLine="495"/>
        <w:spacing w:after="0" w:line="256" w:lineRule="auto"/>
        <w:rPr>
          <w:sz w:val="20"/>
          <w:szCs w:val="20"/>
          <w:color w:val="auto"/>
        </w:rPr>
      </w:pPr>
      <w:r>
        <w:rPr>
          <w:rFonts w:ascii="Times New Roman" w:cs="Times New Roman" w:eastAsia="Times New Roman" w:hAnsi="Times New Roman"/>
          <w:sz w:val="14"/>
          <w:szCs w:val="14"/>
          <w:color w:val="auto"/>
        </w:rPr>
        <w:t xml:space="preserve">We reserve the right to extend the exchange offer, delay accepting any tendered Old Notes or, if any of the conditions described below under the heading entitled “— </w:t>
      </w:r>
      <w:r>
        <w:rPr>
          <w:rFonts w:ascii="Times New Roman" w:cs="Times New Roman" w:eastAsia="Times New Roman" w:hAnsi="Times New Roman"/>
          <w:sz w:val="14"/>
          <w:szCs w:val="14"/>
          <w:i w:val="1"/>
          <w:iCs w:val="1"/>
          <w:color w:val="auto"/>
        </w:rPr>
        <w:t>Conditions</w:t>
      </w:r>
      <w:r>
        <w:rPr>
          <w:rFonts w:ascii="Times New Roman" w:cs="Times New Roman" w:eastAsia="Times New Roman" w:hAnsi="Times New Roman"/>
          <w:sz w:val="14"/>
          <w:szCs w:val="14"/>
          <w:color w:val="auto"/>
        </w:rPr>
        <w:t>” have not been satisfied, to terminate the exchange offer. We also reserve the right to amend the terms of the exchange offer in any manner. We will give oral or written notice of any delay, extension, termination or amendment to the exchange agent. We will keep the exchange offer open for not less than twenty (20) business days, or longer if required by applicable law, after the date on which notice of the exchange offer is mailed to holders of the Old Notes.</w:t>
      </w:r>
    </w:p>
    <w:p>
      <w:pPr>
        <w:spacing w:after="0" w:line="141" w:lineRule="exact"/>
        <w:rPr>
          <w:sz w:val="20"/>
          <w:szCs w:val="20"/>
          <w:color w:val="auto"/>
        </w:rPr>
      </w:pPr>
    </w:p>
    <w:p>
      <w:pPr>
        <w:ind w:firstLine="495"/>
        <w:spacing w:after="0" w:line="271" w:lineRule="auto"/>
        <w:rPr>
          <w:sz w:val="20"/>
          <w:szCs w:val="20"/>
          <w:color w:val="auto"/>
        </w:rPr>
      </w:pPr>
      <w:r>
        <w:rPr>
          <w:rFonts w:ascii="Times New Roman" w:cs="Times New Roman" w:eastAsia="Times New Roman" w:hAnsi="Times New Roman"/>
          <w:sz w:val="14"/>
          <w:szCs w:val="14"/>
          <w:color w:val="auto"/>
        </w:rPr>
        <w:t>If we amend the exchange offer in a manner that we consider material, we will disclose that amendment by means of a prospectus supplement, and we will extend the exchange offer so that at least five (5) business days remain in the exchange offer following notice of the material change.</w:t>
      </w:r>
    </w:p>
    <w:p>
      <w:pPr>
        <w:spacing w:after="0" w:line="13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3"/>
          <w:szCs w:val="13"/>
          <w:color w:val="auto"/>
        </w:rPr>
        <w:t>If we determine to make a public announcement of any delay, extension, amendment or termination of the exchange offer, we will do so by making a timely release through an appropriate news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agency.</w:t>
      </w:r>
    </w:p>
    <w:p>
      <w:pPr>
        <w:spacing w:after="0" w:line="15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If we terminate or withdraw the exchange offer, we will promptly return any Old Notes deposited, under the exchange offer as required by Rule 14e-1(c) under the Exchange Act.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Conditions</w:t>
      </w:r>
    </w:p>
    <w:p>
      <w:pPr>
        <w:spacing w:after="0" w:line="173" w:lineRule="exact"/>
        <w:rPr>
          <w:sz w:val="20"/>
          <w:szCs w:val="20"/>
          <w:color w:val="auto"/>
        </w:rPr>
      </w:pPr>
    </w:p>
    <w:p>
      <w:pPr>
        <w:ind w:right="140" w:firstLine="495"/>
        <w:spacing w:after="0" w:line="271" w:lineRule="auto"/>
        <w:rPr>
          <w:sz w:val="20"/>
          <w:szCs w:val="20"/>
          <w:color w:val="auto"/>
        </w:rPr>
      </w:pPr>
      <w:r>
        <w:rPr>
          <w:rFonts w:ascii="Times New Roman" w:cs="Times New Roman" w:eastAsia="Times New Roman" w:hAnsi="Times New Roman"/>
          <w:sz w:val="14"/>
          <w:szCs w:val="14"/>
          <w:color w:val="auto"/>
        </w:rPr>
        <w:t>The exchange offer is not conditioned on any minimum aggregate principal amount of Old Notes being tendered or accepted for exchange. Notwithstanding any other term of the exchange offer, we will not be required to accept for exchange, or issue any New Notes for, any Old Notes, and may terminate or amend the exchange offer before the acceptance of the Old Notes, if:</w:t>
      </w:r>
    </w:p>
    <w:p>
      <w:pPr>
        <w:spacing w:after="0" w:line="131" w:lineRule="exact"/>
        <w:rPr>
          <w:sz w:val="20"/>
          <w:szCs w:val="20"/>
          <w:color w:val="auto"/>
        </w:rPr>
      </w:pPr>
    </w:p>
    <w:p>
      <w:pPr>
        <w:ind w:left="1000" w:hanging="503"/>
        <w:spacing w:after="0"/>
        <w:tabs>
          <w:tab w:leader="none" w:pos="1000" w:val="left"/>
        </w:tabs>
        <w:numPr>
          <w:ilvl w:val="0"/>
          <w:numId w:val="10"/>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such Old Notes are tendered to us other than in accordance with the terms and conditions of the exchange offer;</w:t>
      </w:r>
    </w:p>
    <w:p>
      <w:pPr>
        <w:spacing w:after="0" w:line="168" w:lineRule="exact"/>
        <w:rPr>
          <w:rFonts w:ascii="Arial" w:cs="Arial" w:eastAsia="Arial" w:hAnsi="Arial"/>
          <w:sz w:val="14"/>
          <w:szCs w:val="14"/>
          <w:b w:val="1"/>
          <w:bCs w:val="1"/>
          <w:color w:val="auto"/>
        </w:rPr>
      </w:pPr>
    </w:p>
    <w:p>
      <w:pPr>
        <w:ind w:left="1000" w:hanging="503"/>
        <w:spacing w:after="0"/>
        <w:tabs>
          <w:tab w:leader="none" w:pos="1000" w:val="left"/>
        </w:tabs>
        <w:numPr>
          <w:ilvl w:val="0"/>
          <w:numId w:val="10"/>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we determine that the exchange offer violates any law, statute, rule, regulation or interpretation by the staff of the SEC; or</w:t>
      </w:r>
    </w:p>
    <w:p>
      <w:pPr>
        <w:spacing w:after="0" w:line="168" w:lineRule="exact"/>
        <w:rPr>
          <w:rFonts w:ascii="Arial" w:cs="Arial" w:eastAsia="Arial" w:hAnsi="Arial"/>
          <w:sz w:val="14"/>
          <w:szCs w:val="14"/>
          <w:b w:val="1"/>
          <w:bCs w:val="1"/>
          <w:color w:val="auto"/>
        </w:rPr>
      </w:pPr>
    </w:p>
    <w:p>
      <w:pPr>
        <w:ind w:left="1000" w:right="380" w:hanging="503"/>
        <w:spacing w:after="0" w:line="270" w:lineRule="auto"/>
        <w:tabs>
          <w:tab w:leader="none" w:pos="1000" w:val="left"/>
        </w:tabs>
        <w:numPr>
          <w:ilvl w:val="0"/>
          <w:numId w:val="10"/>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any action or proceeding is instituted or threatened in any court or by or before any governmental agency relating to the exchange offer which, in our judgment, could reasonably be expected to impair our ability to proceed with the exchange offer.</w:t>
      </w:r>
    </w:p>
    <w:p>
      <w:pPr>
        <w:spacing w:after="0" w:line="132" w:lineRule="exact"/>
        <w:rPr>
          <w:sz w:val="20"/>
          <w:szCs w:val="20"/>
          <w:color w:val="auto"/>
        </w:rPr>
      </w:pPr>
    </w:p>
    <w:p>
      <w:pPr>
        <w:ind w:right="120" w:firstLine="495"/>
        <w:spacing w:after="0" w:line="258" w:lineRule="auto"/>
        <w:rPr>
          <w:sz w:val="20"/>
          <w:szCs w:val="20"/>
          <w:color w:val="auto"/>
        </w:rPr>
      </w:pPr>
      <w:r>
        <w:rPr>
          <w:rFonts w:ascii="Times New Roman" w:cs="Times New Roman" w:eastAsia="Times New Roman" w:hAnsi="Times New Roman"/>
          <w:sz w:val="14"/>
          <w:szCs w:val="14"/>
          <w:color w:val="auto"/>
        </w:rPr>
        <w:t>The conditions listed above are for our sole benefit and may be asserted by us regardless of the circumstances giving rise to any of these conditions. We may waive these conditions in our absolute discretion in whole or in part at any time and from time to time prior to the expiration date. Our failure at any time to exercise any of the above rights will not be considered a waiver of that right, and that right will be considered an ongoing right which we may assert at any time and from time to time.</w:t>
      </w:r>
    </w:p>
    <w:p>
      <w:pPr>
        <w:spacing w:after="0" w:line="140" w:lineRule="exact"/>
        <w:rPr>
          <w:sz w:val="20"/>
          <w:szCs w:val="20"/>
          <w:color w:val="auto"/>
        </w:rPr>
      </w:pPr>
    </w:p>
    <w:p>
      <w:pPr>
        <w:ind w:right="100" w:firstLine="495"/>
        <w:spacing w:after="0" w:line="258" w:lineRule="auto"/>
        <w:rPr>
          <w:sz w:val="20"/>
          <w:szCs w:val="20"/>
          <w:color w:val="auto"/>
        </w:rPr>
      </w:pPr>
      <w:r>
        <w:rPr>
          <w:rFonts w:ascii="Times New Roman" w:cs="Times New Roman" w:eastAsia="Times New Roman" w:hAnsi="Times New Roman"/>
          <w:sz w:val="14"/>
          <w:szCs w:val="14"/>
          <w:color w:val="auto"/>
        </w:rPr>
        <w:t>In addition, we will not accept for exchange any Old Notes tendered, and no New Notes will be issued in exchange for those Old Notes, if at any time any stop order is threatened or issued by the SEC with respect to the registration statement for the exchange offer and the New Notes or the qualification of the indenture under the Trust Indenture Act of 1939. In any such event, we will use our commercially reasonable efforts to obtain the withdrawal of any stop order as soon as practicable.</w:t>
      </w: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wp:posOffset>
            </wp:positionV>
            <wp:extent cx="7164705" cy="63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2">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724" w:right="319" w:bottom="1440" w:gutter="0" w:footer="0" w:header="0"/>
        </w:sectPr>
      </w:pPr>
    </w:p>
    <w:bookmarkStart w:id="28" w:name="page29"/>
    <w:bookmarkEnd w:id="28"/>
    <w:p>
      <w:pPr>
        <w:ind w:right="900" w:firstLine="495"/>
        <w:spacing w:after="0" w:line="277" w:lineRule="auto"/>
        <w:rPr>
          <w:sz w:val="20"/>
          <w:szCs w:val="20"/>
          <w:color w:val="auto"/>
        </w:rPr>
      </w:pPr>
      <w:r>
        <w:rPr>
          <w:rFonts w:ascii="Times New Roman" w:cs="Times New Roman" w:eastAsia="Times New Roman" w:hAnsi="Times New Roman"/>
          <w:sz w:val="14"/>
          <w:szCs w:val="14"/>
          <w:color w:val="auto"/>
        </w:rPr>
        <w:t xml:space="preserve">Further, we will not be obligated to accept for exchange the Old Notes of any holder that has not made to us the representations described under the sections entitled “— </w:t>
      </w:r>
      <w:r>
        <w:rPr>
          <w:rFonts w:ascii="Times New Roman" w:cs="Times New Roman" w:eastAsia="Times New Roman" w:hAnsi="Times New Roman"/>
          <w:sz w:val="14"/>
          <w:szCs w:val="14"/>
          <w:i w:val="1"/>
          <w:iCs w:val="1"/>
          <w:color w:val="auto"/>
        </w:rPr>
        <w:t>Eligibility;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Transferability</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i w:val="1"/>
          <w:iCs w:val="1"/>
          <w:color w:val="auto"/>
        </w:rPr>
        <w:t>Plan of Distribution</w:t>
      </w:r>
      <w:r>
        <w:rPr>
          <w:rFonts w:ascii="Times New Roman" w:cs="Times New Roman" w:eastAsia="Times New Roman" w:hAnsi="Times New Roman"/>
          <w:sz w:val="14"/>
          <w:szCs w:val="14"/>
          <w:color w:val="auto"/>
        </w:rPr>
        <w:t>” beginning on pages 23 and 48, respectively.</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Procedures for Tendering Old Notes</w:t>
      </w:r>
    </w:p>
    <w:p>
      <w:pPr>
        <w:spacing w:after="0" w:line="173" w:lineRule="exact"/>
        <w:rPr>
          <w:sz w:val="20"/>
          <w:szCs w:val="20"/>
          <w:color w:val="auto"/>
        </w:rPr>
      </w:pPr>
    </w:p>
    <w:p>
      <w:pPr>
        <w:ind w:right="280" w:firstLine="495"/>
        <w:spacing w:after="0" w:line="271" w:lineRule="auto"/>
        <w:rPr>
          <w:sz w:val="20"/>
          <w:szCs w:val="20"/>
          <w:color w:val="auto"/>
        </w:rPr>
      </w:pPr>
      <w:r>
        <w:rPr>
          <w:rFonts w:ascii="Times New Roman" w:cs="Times New Roman" w:eastAsia="Times New Roman" w:hAnsi="Times New Roman"/>
          <w:sz w:val="14"/>
          <w:szCs w:val="14"/>
          <w:color w:val="auto"/>
        </w:rPr>
        <w:t>In order to participate in the exchange offer, you must validly tender your Old Notes to the exchange agent, as described below, by the expiration date. It is your responsibility to validly tender your Old Notes. We have the right to waive any defects. However, we are not required to waive defects and are not required to notify you of defects in your tender.</w:t>
      </w:r>
    </w:p>
    <w:p>
      <w:pPr>
        <w:spacing w:after="0" w:line="127" w:lineRule="exact"/>
        <w:rPr>
          <w:sz w:val="20"/>
          <w:szCs w:val="20"/>
          <w:color w:val="auto"/>
        </w:rPr>
      </w:pPr>
    </w:p>
    <w:p>
      <w:pPr>
        <w:ind w:right="200" w:firstLine="495"/>
        <w:spacing w:after="0" w:line="277" w:lineRule="auto"/>
        <w:rPr>
          <w:sz w:val="20"/>
          <w:szCs w:val="20"/>
          <w:color w:val="auto"/>
        </w:rPr>
      </w:pPr>
      <w:r>
        <w:rPr>
          <w:rFonts w:ascii="Times New Roman" w:cs="Times New Roman" w:eastAsia="Times New Roman" w:hAnsi="Times New Roman"/>
          <w:sz w:val="14"/>
          <w:szCs w:val="14"/>
          <w:color w:val="auto"/>
        </w:rPr>
        <w:t xml:space="preserve">If you have any questions or need help in exchanging your Old Notes, please call the exchange agent, whose address and phone number are set forth in the section entitled “— </w:t>
      </w:r>
      <w:r>
        <w:rPr>
          <w:rFonts w:ascii="Times New Roman" w:cs="Times New Roman" w:eastAsia="Times New Roman" w:hAnsi="Times New Roman"/>
          <w:sz w:val="14"/>
          <w:szCs w:val="14"/>
          <w:i w:val="1"/>
          <w:iCs w:val="1"/>
          <w:color w:val="auto"/>
        </w:rPr>
        <w:t>Exchange Agent</w:t>
      </w:r>
      <w:r>
        <w:rPr>
          <w:rFonts w:ascii="Times New Roman" w:cs="Times New Roman" w:eastAsia="Times New Roman" w:hAnsi="Times New Roman"/>
          <w:sz w:val="14"/>
          <w:szCs w:val="14"/>
          <w:color w:val="auto"/>
        </w:rPr>
        <w:t>” beginning on page 28.</w:t>
      </w:r>
    </w:p>
    <w:p>
      <w:pPr>
        <w:spacing w:after="0" w:line="127" w:lineRule="exact"/>
        <w:rPr>
          <w:sz w:val="20"/>
          <w:szCs w:val="20"/>
          <w:color w:val="auto"/>
        </w:rPr>
      </w:pPr>
    </w:p>
    <w:p>
      <w:pPr>
        <w:ind w:right="100" w:firstLine="495"/>
        <w:spacing w:after="0" w:line="249" w:lineRule="auto"/>
        <w:rPr>
          <w:sz w:val="20"/>
          <w:szCs w:val="20"/>
          <w:color w:val="auto"/>
        </w:rPr>
      </w:pPr>
      <w:r>
        <w:rPr>
          <w:rFonts w:ascii="Times New Roman" w:cs="Times New Roman" w:eastAsia="Times New Roman" w:hAnsi="Times New Roman"/>
          <w:sz w:val="14"/>
          <w:szCs w:val="14"/>
          <w:color w:val="auto"/>
        </w:rPr>
        <w:t>We will determine all questions as to the validity, form, eligibility (including time of receipt) and acceptance and withdrawal of tendered Old Notes in our sole discretion. We reserve the absolute right to reject any and all Old Notes not properly tendered or any Old Notes whose acceptance by us would, in the opinion of our counsel, be unlawful. We also reserve the right to waive any defects, irregularities or conditions of tender as to any particular Old Notes either before or after the expiration date. Our interpretation of the terms and conditions of the exchange offer (including the instructions in the accompanying letter of transmittal for book-entry notes) will be final and binding on all parties. Unless waived, any defects or irregularities in connection with tenders of Old Notes must be cured within a time period we will reasonably determine. Although we intend to request the exchange agent to notify holders of defects or irregularities relating to tenders of Old Notes, neither we, the exchange agent nor any other person will have any duty or incur any liability for failure to give such notification. Tenders of Old Notes will not be considered to have been made until such defects or irregularities have been cured or waived. If we waive any terms or conditions with respect to a noteholder, we will extend the same waiver to all noteholders with respect to that term or condition. Any Old Notes received by the exchange agent that are not validly tendered and as to which the defects or irregularities have not been cured or waived will be returned by the exchange agent, without expense, to the tendering holders, unless otherwise provided in the accompanying letter of transmittal, promptly following the expiration date of the exchange offer.</w:t>
      </w:r>
    </w:p>
    <w:p>
      <w:pPr>
        <w:spacing w:after="0" w:line="14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3"/>
          <w:szCs w:val="13"/>
          <w:color w:val="auto"/>
        </w:rPr>
        <w:t>All of the Old Notes were issued in book-entry form, and are currently represented by global certificates held for the account of DTC. Accordingly, DTC will be the only entity that can tender such</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Old Notes for New Notes. Therefore, to tender book-entry form Old Notes subject to the exchange offer and to obtain New Notes you must:</w:t>
      </w:r>
    </w:p>
    <w:p>
      <w:pPr>
        <w:spacing w:after="0" w:line="155" w:lineRule="exact"/>
        <w:rPr>
          <w:sz w:val="20"/>
          <w:szCs w:val="20"/>
          <w:color w:val="auto"/>
        </w:rPr>
      </w:pPr>
    </w:p>
    <w:p>
      <w:pPr>
        <w:ind w:left="1000" w:hanging="503"/>
        <w:spacing w:after="0"/>
        <w:tabs>
          <w:tab w:leader="none" w:pos="1000" w:val="left"/>
        </w:tabs>
        <w:numPr>
          <w:ilvl w:val="0"/>
          <w:numId w:val="11"/>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comply with DTC’s ATOP procedures described below; and</w:t>
      </w:r>
    </w:p>
    <w:p>
      <w:pPr>
        <w:spacing w:after="0" w:line="168" w:lineRule="exact"/>
        <w:rPr>
          <w:rFonts w:ascii="Arial" w:cs="Arial" w:eastAsia="Arial" w:hAnsi="Arial"/>
          <w:sz w:val="14"/>
          <w:szCs w:val="14"/>
          <w:b w:val="1"/>
          <w:bCs w:val="1"/>
          <w:color w:val="auto"/>
        </w:rPr>
      </w:pPr>
    </w:p>
    <w:p>
      <w:pPr>
        <w:ind w:left="1000" w:right="120" w:hanging="503"/>
        <w:spacing w:after="0" w:line="270" w:lineRule="auto"/>
        <w:tabs>
          <w:tab w:leader="none" w:pos="1000" w:val="left"/>
        </w:tabs>
        <w:numPr>
          <w:ilvl w:val="0"/>
          <w:numId w:val="11"/>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the exchange agent must receive a timely confirmation of a book-entry transfer of the Old Notes into its account at DTC through ATOP pursuant to the procedure for book-entry transfer described below, along with a properly transmitted “agent’s message” (as defined below), before the expiration date of the exchange offer.</w:t>
      </w:r>
    </w:p>
    <w:p>
      <w:pPr>
        <w:spacing w:after="0" w:line="132" w:lineRule="exact"/>
        <w:rPr>
          <w:sz w:val="20"/>
          <w:szCs w:val="20"/>
          <w:color w:val="auto"/>
        </w:rPr>
      </w:pPr>
    </w:p>
    <w:p>
      <w:pPr>
        <w:ind w:right="60" w:firstLine="495"/>
        <w:spacing w:after="0" w:line="254" w:lineRule="auto"/>
        <w:rPr>
          <w:sz w:val="20"/>
          <w:szCs w:val="20"/>
          <w:color w:val="auto"/>
        </w:rPr>
      </w:pPr>
      <w:r>
        <w:rPr>
          <w:rFonts w:ascii="Times New Roman" w:cs="Times New Roman" w:eastAsia="Times New Roman" w:hAnsi="Times New Roman"/>
          <w:sz w:val="14"/>
          <w:szCs w:val="14"/>
          <w:color w:val="auto"/>
        </w:rPr>
        <w:t>Following receipt, the exchange agent will establish an ATOP account with DTC for purposes of the exchange offer promptly after the commencement of the exchange offer. Any financial institution that is a DTC participant, including your broker or bank, may make a book-entry tender of outstanding Old Notes by causing the book-entry transfer of such Old Notes into our ATOP account in accordance with DTC’s procedures for such transfers. In connection with the transfer, DTC must send an “agent’s message” to the exchange agent on or prior to 5:00 p.m., New York City time, on the expiration date of the exchange offer.</w:t>
      </w:r>
    </w:p>
    <w:p>
      <w:pPr>
        <w:spacing w:after="0" w:line="143" w:lineRule="exact"/>
        <w:rPr>
          <w:sz w:val="20"/>
          <w:szCs w:val="20"/>
          <w:color w:val="auto"/>
        </w:rPr>
      </w:pPr>
    </w:p>
    <w:p>
      <w:pPr>
        <w:ind w:right="340" w:firstLine="495"/>
        <w:spacing w:after="0" w:line="258" w:lineRule="auto"/>
        <w:rPr>
          <w:sz w:val="20"/>
          <w:szCs w:val="20"/>
          <w:color w:val="auto"/>
        </w:rPr>
      </w:pPr>
      <w:r>
        <w:rPr>
          <w:rFonts w:ascii="Times New Roman" w:cs="Times New Roman" w:eastAsia="Times New Roman" w:hAnsi="Times New Roman"/>
          <w:sz w:val="14"/>
          <w:szCs w:val="14"/>
          <w:color w:val="auto"/>
        </w:rPr>
        <w:t>The term “agent’s message” means a message transmitted by the DTC participants to DTC, and thereafter transmitted by DTC to the exchange agent, which states that DTC has received an express acknowledgement from the participant stating that such participant and beneficial holder agree to be bound by the terms of the exchange offer, including the letter of transmittal for book-entry notes, and that the agreement may be enforced against such participant.</w:t>
      </w: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wp:posOffset>
            </wp:positionV>
            <wp:extent cx="7164705" cy="63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3">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720" w:right="319" w:bottom="1440" w:gutter="0" w:footer="0" w:header="0"/>
        </w:sectPr>
      </w:pPr>
    </w:p>
    <w:bookmarkStart w:id="29" w:name="page30"/>
    <w:bookmarkEnd w:id="29"/>
    <w:p>
      <w:pPr>
        <w:ind w:left="500"/>
        <w:spacing w:after="0"/>
        <w:rPr>
          <w:sz w:val="20"/>
          <w:szCs w:val="20"/>
          <w:color w:val="auto"/>
        </w:rPr>
      </w:pPr>
      <w:r>
        <w:rPr>
          <w:rFonts w:ascii="Times New Roman" w:cs="Times New Roman" w:eastAsia="Times New Roman" w:hAnsi="Times New Roman"/>
          <w:sz w:val="14"/>
          <w:szCs w:val="14"/>
          <w:color w:val="auto"/>
        </w:rPr>
        <w:t>Each agent’s message must include the following information:</w:t>
      </w:r>
    </w:p>
    <w:p>
      <w:pPr>
        <w:spacing w:after="0" w:line="169" w:lineRule="exact"/>
        <w:rPr>
          <w:sz w:val="20"/>
          <w:szCs w:val="20"/>
          <w:color w:val="auto"/>
        </w:rPr>
      </w:pPr>
    </w:p>
    <w:p>
      <w:pPr>
        <w:ind w:left="1000" w:hanging="503"/>
        <w:spacing w:after="0"/>
        <w:tabs>
          <w:tab w:leader="none" w:pos="1000" w:val="left"/>
        </w:tabs>
        <w:numPr>
          <w:ilvl w:val="0"/>
          <w:numId w:val="12"/>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the name of the beneficial owner tendering such Old Notes;</w:t>
      </w:r>
    </w:p>
    <w:p>
      <w:pPr>
        <w:spacing w:after="0" w:line="168" w:lineRule="exact"/>
        <w:rPr>
          <w:rFonts w:ascii="Arial" w:cs="Arial" w:eastAsia="Arial" w:hAnsi="Arial"/>
          <w:sz w:val="14"/>
          <w:szCs w:val="14"/>
          <w:b w:val="1"/>
          <w:bCs w:val="1"/>
          <w:color w:val="auto"/>
        </w:rPr>
      </w:pPr>
    </w:p>
    <w:p>
      <w:pPr>
        <w:ind w:left="1000" w:hanging="503"/>
        <w:spacing w:after="0"/>
        <w:tabs>
          <w:tab w:leader="none" w:pos="1000" w:val="left"/>
        </w:tabs>
        <w:numPr>
          <w:ilvl w:val="0"/>
          <w:numId w:val="12"/>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the account number of the beneficial owner tendering such Old Notes;</w:t>
      </w:r>
    </w:p>
    <w:p>
      <w:pPr>
        <w:spacing w:after="0" w:line="168" w:lineRule="exact"/>
        <w:rPr>
          <w:rFonts w:ascii="Arial" w:cs="Arial" w:eastAsia="Arial" w:hAnsi="Arial"/>
          <w:sz w:val="14"/>
          <w:szCs w:val="14"/>
          <w:b w:val="1"/>
          <w:bCs w:val="1"/>
          <w:color w:val="auto"/>
        </w:rPr>
      </w:pPr>
    </w:p>
    <w:p>
      <w:pPr>
        <w:ind w:left="1000" w:hanging="503"/>
        <w:spacing w:after="0"/>
        <w:tabs>
          <w:tab w:leader="none" w:pos="1000" w:val="left"/>
        </w:tabs>
        <w:numPr>
          <w:ilvl w:val="0"/>
          <w:numId w:val="12"/>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the principal amount of Old Notes tendered by such beneficial owner; and</w:t>
      </w:r>
    </w:p>
    <w:p>
      <w:pPr>
        <w:spacing w:after="0" w:line="164" w:lineRule="exact"/>
        <w:rPr>
          <w:rFonts w:ascii="Arial" w:cs="Arial" w:eastAsia="Arial" w:hAnsi="Arial"/>
          <w:sz w:val="14"/>
          <w:szCs w:val="14"/>
          <w:b w:val="1"/>
          <w:bCs w:val="1"/>
          <w:color w:val="auto"/>
        </w:rPr>
      </w:pPr>
    </w:p>
    <w:p>
      <w:pPr>
        <w:ind w:left="1000" w:hanging="503"/>
        <w:spacing w:after="0"/>
        <w:tabs>
          <w:tab w:leader="none" w:pos="1000" w:val="left"/>
        </w:tabs>
        <w:numPr>
          <w:ilvl w:val="0"/>
          <w:numId w:val="12"/>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 xml:space="preserve">a confirmation that the beneficial owner of the Old Notes has made the representations for our benefit set forth under the section entitled “— </w:t>
      </w:r>
      <w:r>
        <w:rPr>
          <w:rFonts w:ascii="Times New Roman" w:cs="Times New Roman" w:eastAsia="Times New Roman" w:hAnsi="Times New Roman"/>
          <w:sz w:val="14"/>
          <w:szCs w:val="14"/>
          <w:i w:val="1"/>
          <w:iCs w:val="1"/>
          <w:color w:val="auto"/>
        </w:rPr>
        <w:t>Representations</w:t>
      </w:r>
      <w:r>
        <w:rPr>
          <w:rFonts w:ascii="Times New Roman" w:cs="Times New Roman" w:eastAsia="Times New Roman" w:hAnsi="Times New Roman"/>
          <w:sz w:val="14"/>
          <w:szCs w:val="14"/>
          <w:color w:val="auto"/>
        </w:rPr>
        <w:t>” below.</w:t>
      </w:r>
    </w:p>
    <w:p>
      <w:pPr>
        <w:spacing w:after="0" w:line="172" w:lineRule="exact"/>
        <w:rPr>
          <w:sz w:val="20"/>
          <w:szCs w:val="20"/>
          <w:color w:val="auto"/>
        </w:rPr>
      </w:pPr>
    </w:p>
    <w:p>
      <w:pPr>
        <w:ind w:firstLine="495"/>
        <w:spacing w:after="0" w:line="254" w:lineRule="auto"/>
        <w:rPr>
          <w:sz w:val="20"/>
          <w:szCs w:val="20"/>
          <w:color w:val="auto"/>
        </w:rPr>
      </w:pPr>
      <w:r>
        <w:rPr>
          <w:rFonts w:ascii="Times New Roman" w:cs="Times New Roman" w:eastAsia="Times New Roman" w:hAnsi="Times New Roman"/>
          <w:sz w:val="14"/>
          <w:szCs w:val="14"/>
          <w:color w:val="auto"/>
        </w:rPr>
        <w:t>The delivery of the Old Notes through DTC, and any transmission of an agent’s message through ATOP, is at the election and risk of the person tendering Old Notes. If we do not accept any tendered Old Notes for exchange or if Old Notes are submitted for a greater principal amount than the holder desires to exchange, the unaccepted or non-exchanged Old Notes will be returned, without expense, to their tendering holder. Such non-exchanged Old Notes will be credited to an account maintained with DTC. These actions will occur promptly after the expiration or termination of the exchange offer.</w:t>
      </w:r>
    </w:p>
    <w:p>
      <w:pPr>
        <w:spacing w:after="0" w:line="143" w:lineRule="exact"/>
        <w:rPr>
          <w:sz w:val="20"/>
          <w:szCs w:val="20"/>
          <w:color w:val="auto"/>
        </w:rPr>
      </w:pPr>
    </w:p>
    <w:p>
      <w:pPr>
        <w:ind w:firstLine="495"/>
        <w:spacing w:after="0" w:line="254" w:lineRule="auto"/>
        <w:rPr>
          <w:sz w:val="20"/>
          <w:szCs w:val="20"/>
          <w:color w:val="auto"/>
        </w:rPr>
      </w:pPr>
      <w:r>
        <w:rPr>
          <w:rFonts w:ascii="Times New Roman" w:cs="Times New Roman" w:eastAsia="Times New Roman" w:hAnsi="Times New Roman"/>
          <w:sz w:val="14"/>
          <w:szCs w:val="14"/>
          <w:color w:val="auto"/>
        </w:rPr>
        <w:t>The tender by a holder of Old Notes that is not validly withdrawn prior to the expiration date of the exchange offer and that is accepted by us will constitute a binding agreement between us and the holder in accordance with the terms and subject to the conditions set forth in this prospectus and in the accompanying letter of transmittal. By using the ATOP procedures to exchange Old Notes, you will not be required to deliver such letter of transmittal to the exchange agent. However, you will be bound by its terms, and you will be deemed to have made the acknowledgements and the representations and warranties it contains, just as if you had signed it.</w:t>
      </w:r>
    </w:p>
    <w:p>
      <w:pPr>
        <w:spacing w:after="0" w:line="14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There is no procedure for guaranteed late delivery of the book-entry form Old Notes.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Representations</w:t>
      </w:r>
    </w:p>
    <w:p>
      <w:pPr>
        <w:spacing w:after="0" w:line="17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By tendering Old Notes, each holder is deemed to have represented to us that:</w:t>
      </w:r>
    </w:p>
    <w:p>
      <w:pPr>
        <w:spacing w:after="0" w:line="169" w:lineRule="exact"/>
        <w:rPr>
          <w:sz w:val="20"/>
          <w:szCs w:val="20"/>
          <w:color w:val="auto"/>
        </w:rPr>
      </w:pPr>
    </w:p>
    <w:p>
      <w:pPr>
        <w:ind w:left="1000" w:hanging="503"/>
        <w:spacing w:after="0"/>
        <w:tabs>
          <w:tab w:leader="none" w:pos="1000" w:val="left"/>
        </w:tabs>
        <w:numPr>
          <w:ilvl w:val="0"/>
          <w:numId w:val="13"/>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any New Notes that you receive will be acquired in the ordinary course of business;</w:t>
      </w:r>
    </w:p>
    <w:p>
      <w:pPr>
        <w:spacing w:after="0" w:line="168" w:lineRule="exact"/>
        <w:rPr>
          <w:rFonts w:ascii="Arial" w:cs="Arial" w:eastAsia="Arial" w:hAnsi="Arial"/>
          <w:sz w:val="14"/>
          <w:szCs w:val="14"/>
          <w:b w:val="1"/>
          <w:bCs w:val="1"/>
          <w:color w:val="auto"/>
        </w:rPr>
      </w:pPr>
    </w:p>
    <w:p>
      <w:pPr>
        <w:ind w:left="1000" w:right="140" w:hanging="503"/>
        <w:spacing w:after="0" w:line="270" w:lineRule="auto"/>
        <w:tabs>
          <w:tab w:leader="none" w:pos="1000" w:val="left"/>
        </w:tabs>
        <w:numPr>
          <w:ilvl w:val="0"/>
          <w:numId w:val="13"/>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you have no arrangement or understanding with any person to participate in the distribution (within the meaning of the Securities Act) of the New Notes in violation of the provisions of the Securities Act;</w:t>
      </w:r>
    </w:p>
    <w:p>
      <w:pPr>
        <w:spacing w:after="0" w:line="131" w:lineRule="exact"/>
        <w:rPr>
          <w:rFonts w:ascii="Arial" w:cs="Arial" w:eastAsia="Arial" w:hAnsi="Arial"/>
          <w:sz w:val="14"/>
          <w:szCs w:val="14"/>
          <w:b w:val="1"/>
          <w:bCs w:val="1"/>
          <w:color w:val="auto"/>
        </w:rPr>
      </w:pPr>
    </w:p>
    <w:p>
      <w:pPr>
        <w:ind w:left="1000" w:hanging="503"/>
        <w:spacing w:after="0"/>
        <w:tabs>
          <w:tab w:leader="none" w:pos="1000" w:val="left"/>
        </w:tabs>
        <w:numPr>
          <w:ilvl w:val="0"/>
          <w:numId w:val="13"/>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you are not an “affiliate” (within the meaning of Rule 405 under the Securities Act); and</w:t>
      </w:r>
    </w:p>
    <w:p>
      <w:pPr>
        <w:spacing w:after="0" w:line="168" w:lineRule="exact"/>
        <w:rPr>
          <w:rFonts w:ascii="Arial" w:cs="Arial" w:eastAsia="Arial" w:hAnsi="Arial"/>
          <w:sz w:val="14"/>
          <w:szCs w:val="14"/>
          <w:b w:val="1"/>
          <w:bCs w:val="1"/>
          <w:color w:val="auto"/>
        </w:rPr>
      </w:pPr>
    </w:p>
    <w:p>
      <w:pPr>
        <w:ind w:left="1000" w:right="380" w:hanging="503"/>
        <w:spacing w:after="0" w:line="310" w:lineRule="auto"/>
        <w:tabs>
          <w:tab w:leader="none" w:pos="1000" w:val="left"/>
        </w:tabs>
        <w:numPr>
          <w:ilvl w:val="0"/>
          <w:numId w:val="13"/>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if you are a broker-dealer that will receive New Notes for your own account in exchange for Old Notes, you acquired those New Notes as a result of market-making or other trading activities and you will deliver a prospectus (or to the extent permitted by law, make available a prospectus to purchasers) in connection with any resale of such New Notes.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Proper Execution and Delivery of Letter of Transmittal</w:t>
      </w:r>
    </w:p>
    <w:p>
      <w:pPr>
        <w:spacing w:after="0" w:line="17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Generally, an eligible institution must guarantee signatures on a letter of transmittal or notice of withdrawal unless:</w:t>
      </w:r>
    </w:p>
    <w:p>
      <w:pPr>
        <w:spacing w:after="0" w:line="169" w:lineRule="exact"/>
        <w:rPr>
          <w:sz w:val="20"/>
          <w:szCs w:val="20"/>
          <w:color w:val="auto"/>
        </w:rPr>
      </w:pPr>
    </w:p>
    <w:p>
      <w:pPr>
        <w:ind w:left="1000" w:right="40" w:hanging="503"/>
        <w:spacing w:after="0" w:line="270" w:lineRule="auto"/>
        <w:tabs>
          <w:tab w:leader="none" w:pos="1000" w:val="left"/>
        </w:tabs>
        <w:numPr>
          <w:ilvl w:val="0"/>
          <w:numId w:val="14"/>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you tender your Old Notes as the registered holder and the New Notes issued in exchange for your Old Notes are to be issued in your name and delivered to you at your registered address appearing on the security register for the Old Notes; or</w:t>
      </w:r>
    </w:p>
    <w:p>
      <w:pPr>
        <w:spacing w:after="0" w:line="131" w:lineRule="exact"/>
        <w:rPr>
          <w:rFonts w:ascii="Arial" w:cs="Arial" w:eastAsia="Arial" w:hAnsi="Arial"/>
          <w:sz w:val="14"/>
          <w:szCs w:val="14"/>
          <w:b w:val="1"/>
          <w:bCs w:val="1"/>
          <w:color w:val="auto"/>
        </w:rPr>
      </w:pPr>
    </w:p>
    <w:p>
      <w:pPr>
        <w:ind w:left="1000" w:hanging="503"/>
        <w:spacing w:after="0"/>
        <w:tabs>
          <w:tab w:leader="none" w:pos="1000" w:val="left"/>
        </w:tabs>
        <w:numPr>
          <w:ilvl w:val="0"/>
          <w:numId w:val="14"/>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you tender your Old Notes for the account of an eligible institution.</w:t>
      </w:r>
    </w:p>
    <w:p>
      <w:pPr>
        <w:spacing w:after="0" w:line="168" w:lineRule="exact"/>
        <w:rPr>
          <w:sz w:val="20"/>
          <w:szCs w:val="20"/>
          <w:color w:val="auto"/>
        </w:rPr>
      </w:pPr>
    </w:p>
    <w:p>
      <w:pPr>
        <w:ind w:right="340" w:firstLine="495"/>
        <w:spacing w:after="0" w:line="271" w:lineRule="auto"/>
        <w:rPr>
          <w:sz w:val="20"/>
          <w:szCs w:val="20"/>
          <w:color w:val="auto"/>
        </w:rPr>
      </w:pPr>
      <w:r>
        <w:rPr>
          <w:rFonts w:ascii="Times New Roman" w:cs="Times New Roman" w:eastAsia="Times New Roman" w:hAnsi="Times New Roman"/>
          <w:sz w:val="14"/>
          <w:szCs w:val="14"/>
          <w:color w:val="auto"/>
        </w:rPr>
        <w:t>For the purposes of this prospectus, an “eligible institution” means an “eligible guarantor institution” as defined by Rule 17Ad-15 under the Exchange Act which is a member of a recognized signature guarantee program (</w:t>
      </w:r>
      <w:r>
        <w:rPr>
          <w:rFonts w:ascii="Times New Roman" w:cs="Times New Roman" w:eastAsia="Times New Roman" w:hAnsi="Times New Roman"/>
          <w:sz w:val="14"/>
          <w:szCs w:val="14"/>
          <w:i w:val="1"/>
          <w:iCs w:val="1"/>
          <w:color w:val="auto"/>
        </w:rPr>
        <w:t>i.e.</w:t>
      </w:r>
      <w:r>
        <w:rPr>
          <w:rFonts w:ascii="Times New Roman" w:cs="Times New Roman" w:eastAsia="Times New Roman" w:hAnsi="Times New Roman"/>
          <w:sz w:val="14"/>
          <w:szCs w:val="14"/>
          <w:color w:val="auto"/>
        </w:rPr>
        <w:t>, Securities Transfer Agents Medallion Program, Stock Exchange Medallion Program or New York Stock Exchange Medallion Signature Program).</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wp:posOffset>
            </wp:positionV>
            <wp:extent cx="7164705" cy="63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4">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724" w:right="319" w:bottom="1440" w:gutter="0" w:footer="0" w:header="0"/>
        </w:sectPr>
      </w:pPr>
    </w:p>
    <w:bookmarkStart w:id="30" w:name="page31"/>
    <w:bookmarkEnd w:id="30"/>
    <w:p>
      <w:pPr>
        <w:ind w:right="220" w:firstLine="495"/>
        <w:spacing w:after="0" w:line="254" w:lineRule="auto"/>
        <w:rPr>
          <w:sz w:val="20"/>
          <w:szCs w:val="20"/>
          <w:color w:val="auto"/>
        </w:rPr>
      </w:pPr>
      <w:r>
        <w:rPr>
          <w:rFonts w:ascii="Times New Roman" w:cs="Times New Roman" w:eastAsia="Times New Roman" w:hAnsi="Times New Roman"/>
          <w:sz w:val="14"/>
          <w:szCs w:val="14"/>
          <w:color w:val="auto"/>
        </w:rPr>
        <w:t>If the letter of transmittal is signed by the holder(s) of Old Notes tendered thereby, the signature(s) must correspond with the name(s) as written on the face of the Old Notes without alteration, enlargement or any change whatsoever. If any of the Old Notes tendered are held by two or more holders, all such holders must sign the letter of transmittal. If any of the Old Notes tendered thereby are registered in different names on different Old Notes, it will be necessary to complete, sign and submit as many separate letters of transmittal, and any accompanying documents, as there are different registrations of certificates.</w:t>
      </w:r>
    </w:p>
    <w:p>
      <w:pPr>
        <w:spacing w:after="0" w:line="143" w:lineRule="exact"/>
        <w:rPr>
          <w:sz w:val="20"/>
          <w:szCs w:val="20"/>
          <w:color w:val="auto"/>
        </w:rPr>
      </w:pPr>
    </w:p>
    <w:p>
      <w:pPr>
        <w:ind w:right="460" w:firstLine="495"/>
        <w:spacing w:after="0" w:line="258" w:lineRule="auto"/>
        <w:rPr>
          <w:sz w:val="20"/>
          <w:szCs w:val="20"/>
          <w:color w:val="auto"/>
        </w:rPr>
      </w:pPr>
      <w:r>
        <w:rPr>
          <w:rFonts w:ascii="Times New Roman" w:cs="Times New Roman" w:eastAsia="Times New Roman" w:hAnsi="Times New Roman"/>
          <w:sz w:val="14"/>
          <w:szCs w:val="14"/>
          <w:color w:val="auto"/>
        </w:rPr>
        <w:t>If Old Notes that are not tendered for exchange under the exchange offer are to be returned to a person other than the holder thereof, certificates for such Old Notes must be endorsed or accompanied by an appropriate instrument of transfer, signed exactly as the name of the registered owner appears on the certificates, with the signatures on the certificates or instruments of transfer guaranteed by an eligible institution.</w:t>
      </w:r>
    </w:p>
    <w:p>
      <w:pPr>
        <w:spacing w:after="0" w:line="140" w:lineRule="exact"/>
        <w:rPr>
          <w:sz w:val="20"/>
          <w:szCs w:val="20"/>
          <w:color w:val="auto"/>
        </w:rPr>
      </w:pPr>
    </w:p>
    <w:p>
      <w:pPr>
        <w:ind w:right="140" w:firstLine="495"/>
        <w:spacing w:after="0" w:line="254" w:lineRule="auto"/>
        <w:rPr>
          <w:sz w:val="20"/>
          <w:szCs w:val="20"/>
          <w:color w:val="auto"/>
        </w:rPr>
      </w:pPr>
      <w:r>
        <w:rPr>
          <w:rFonts w:ascii="Times New Roman" w:cs="Times New Roman" w:eastAsia="Times New Roman" w:hAnsi="Times New Roman"/>
          <w:sz w:val="14"/>
          <w:szCs w:val="14"/>
          <w:color w:val="auto"/>
        </w:rPr>
        <w:t>If the letter of transmittal is signed by a person other than the holder of any Old Notes listed therein, those Old Notes must be properly endorsed or accompanied by a properly completed bond power, signed by such holder exactly as such holder’s name appears on such Old Notes. If the letter of transmittal or any Old Notes, bond powers or other instruments of transfer are signed by trustees, executors, administrators, guardians, attorneys-in-fact, officers of corporations or others acting in a fiduciary or representative capacity, those persons should so indicate when signing, and, unless waived by us, evidence satisfactory to us of their authority to so act must be submitted with the letter of transmittal.</w:t>
      </w:r>
    </w:p>
    <w:p>
      <w:pPr>
        <w:spacing w:after="0" w:line="143" w:lineRule="exact"/>
        <w:rPr>
          <w:sz w:val="20"/>
          <w:szCs w:val="20"/>
          <w:color w:val="auto"/>
        </w:rPr>
      </w:pPr>
    </w:p>
    <w:p>
      <w:pPr>
        <w:ind w:right="200" w:firstLine="495"/>
        <w:spacing w:after="0" w:line="254" w:lineRule="auto"/>
        <w:rPr>
          <w:sz w:val="20"/>
          <w:szCs w:val="20"/>
          <w:color w:val="auto"/>
        </w:rPr>
      </w:pPr>
      <w:r>
        <w:rPr>
          <w:rFonts w:ascii="Times New Roman" w:cs="Times New Roman" w:eastAsia="Times New Roman" w:hAnsi="Times New Roman"/>
          <w:sz w:val="14"/>
          <w:szCs w:val="14"/>
          <w:color w:val="auto"/>
        </w:rPr>
        <w:t>No alternative, conditional, irregular or contingent tenders will be accepted. By executing the letter of transmittal (or facsimile thereof), the tendering holders of Old Notes waive any right to receive any notice of the acceptance for exchange of their Old Notes. Tendering holders should indicate in the applicable box in the letter of transmittal the name and address to which payments and/or substitute certificates evidencing Old Notes for amounts not tendered or not exchanged are to be issued or sent, if different from the name and address of the person signing the letter of transmittal. If no such instructions are given, Old Notes not tendered or exchanged will be returned to the tendering holder.</w:t>
      </w:r>
    </w:p>
    <w:p>
      <w:pPr>
        <w:spacing w:after="0" w:line="143" w:lineRule="exact"/>
        <w:rPr>
          <w:sz w:val="20"/>
          <w:szCs w:val="20"/>
          <w:color w:val="auto"/>
        </w:rPr>
      </w:pPr>
    </w:p>
    <w:p>
      <w:pPr>
        <w:ind w:firstLine="495"/>
        <w:spacing w:after="0" w:line="249" w:lineRule="auto"/>
        <w:rPr>
          <w:sz w:val="20"/>
          <w:szCs w:val="20"/>
          <w:color w:val="auto"/>
        </w:rPr>
      </w:pPr>
      <w:r>
        <w:rPr>
          <w:rFonts w:ascii="Times New Roman" w:cs="Times New Roman" w:eastAsia="Times New Roman" w:hAnsi="Times New Roman"/>
          <w:sz w:val="14"/>
          <w:szCs w:val="14"/>
          <w:color w:val="auto"/>
        </w:rPr>
        <w:t>All questions as to the validity, form, eligibility (including time of receipt), and acceptance and withdrawal of tendered Old Notes will be determined by us in our absolute discretion, which determination will be final and binding. We reserve the absolute right to reject any and all tendered Old Notes determined by us not to be in proper form or not to be properly tendered or any tendered Old Notes our acceptance of which would, in the opinion of our counsel, be unlawful. We also reserve the right to waive, in our absolute discretion, any defects, irregularities or conditions of tender as to particular Old Notes, whether or not waived in the case of other Old Notes. Our interpretation of the terms and conditions of the exchange offer (including the instructions in the letter of transmittal) will be final and binding on all parties. Unless waived, any defects or irregularities in connection with tenders of Old Notes must be cured within such time as we will determine. Although we intend to notify holders of defects or irregularities with respect to tenders of Old Notes, neither we, the exchange agent nor any other person will be under any duty to give such notification or will incur any liability for failure to give any such notification. Tenders of Old Notes will not be deemed to have been made until such defects or irregularities have been cured or waived. Any holder whose Old Notes have been mutilated, lost, stolen or destroyed will be responsible for obtaining replacement securities or for arranging for indemnification with the trustee of the Old Notes. Holders may contact the exchange agent for assistance with these matters.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Withdrawal of Tenders</w:t>
      </w:r>
    </w:p>
    <w:p>
      <w:pPr>
        <w:spacing w:after="0" w:line="173" w:lineRule="exact"/>
        <w:rPr>
          <w:sz w:val="20"/>
          <w:szCs w:val="20"/>
          <w:color w:val="auto"/>
        </w:rPr>
      </w:pPr>
    </w:p>
    <w:p>
      <w:pPr>
        <w:ind w:right="240" w:firstLine="495"/>
        <w:spacing w:after="0" w:line="271" w:lineRule="auto"/>
        <w:rPr>
          <w:sz w:val="20"/>
          <w:szCs w:val="20"/>
          <w:color w:val="auto"/>
        </w:rPr>
      </w:pPr>
      <w:r>
        <w:rPr>
          <w:rFonts w:ascii="Times New Roman" w:cs="Times New Roman" w:eastAsia="Times New Roman" w:hAnsi="Times New Roman"/>
          <w:sz w:val="14"/>
          <w:szCs w:val="14"/>
          <w:color w:val="auto"/>
        </w:rPr>
        <w:t>Except as otherwise provided in this prospectus, you may validly withdraw your tender of Old Notes at any time prior to 5:00 p.m., New York City time, on the expiration date of the exchange offer. For a withdrawal to be effective you must comply with the appropriate procedures of DTC’s ATOP system. Any such notice of withdrawal must:</w:t>
      </w:r>
    </w:p>
    <w:p>
      <w:pPr>
        <w:spacing w:after="0" w:line="131" w:lineRule="exact"/>
        <w:rPr>
          <w:sz w:val="20"/>
          <w:szCs w:val="20"/>
          <w:color w:val="auto"/>
        </w:rPr>
      </w:pPr>
    </w:p>
    <w:p>
      <w:pPr>
        <w:ind w:left="1000" w:hanging="503"/>
        <w:spacing w:after="0"/>
        <w:tabs>
          <w:tab w:leader="none" w:pos="1000" w:val="left"/>
        </w:tabs>
        <w:numPr>
          <w:ilvl w:val="0"/>
          <w:numId w:val="15"/>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specify the name of the tendering holder of Old Notes;</w:t>
      </w:r>
    </w:p>
    <w:p>
      <w:pPr>
        <w:spacing w:after="0" w:line="168" w:lineRule="exact"/>
        <w:rPr>
          <w:rFonts w:ascii="Arial" w:cs="Arial" w:eastAsia="Arial" w:hAnsi="Arial"/>
          <w:sz w:val="14"/>
          <w:szCs w:val="14"/>
          <w:b w:val="1"/>
          <w:bCs w:val="1"/>
          <w:color w:val="auto"/>
        </w:rPr>
      </w:pPr>
    </w:p>
    <w:p>
      <w:pPr>
        <w:ind w:left="1000" w:hanging="503"/>
        <w:spacing w:after="0"/>
        <w:tabs>
          <w:tab w:leader="none" w:pos="1000" w:val="left"/>
        </w:tabs>
        <w:numPr>
          <w:ilvl w:val="0"/>
          <w:numId w:val="15"/>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specify the principal amount of the Old Notes delivered for exchange;</w:t>
      </w: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wp:posOffset>
            </wp:positionV>
            <wp:extent cx="7164705" cy="63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5">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60"/>
          </w:cols>
          <w:pgMar w:left="300" w:top="724" w:right="339" w:bottom="1440" w:gutter="0" w:footer="0" w:header="0"/>
        </w:sectPr>
      </w:pPr>
    </w:p>
    <w:bookmarkStart w:id="31" w:name="page32"/>
    <w:bookmarkEnd w:id="31"/>
    <w:p>
      <w:pPr>
        <w:ind w:left="1000" w:hanging="503"/>
        <w:spacing w:after="0"/>
        <w:tabs>
          <w:tab w:leader="none" w:pos="1000" w:val="left"/>
        </w:tabs>
        <w:numPr>
          <w:ilvl w:val="0"/>
          <w:numId w:val="16"/>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include a statement that such holder is withdrawing its election to have such Old Notes exchanged; and</w:t>
      </w:r>
    </w:p>
    <w:p>
      <w:pPr>
        <w:spacing w:after="0" w:line="168" w:lineRule="exact"/>
        <w:rPr>
          <w:rFonts w:ascii="Arial" w:cs="Arial" w:eastAsia="Arial" w:hAnsi="Arial"/>
          <w:sz w:val="14"/>
          <w:szCs w:val="14"/>
          <w:b w:val="1"/>
          <w:bCs w:val="1"/>
          <w:color w:val="auto"/>
        </w:rPr>
      </w:pPr>
    </w:p>
    <w:p>
      <w:pPr>
        <w:ind w:left="1000" w:hanging="503"/>
        <w:spacing w:after="0"/>
        <w:tabs>
          <w:tab w:leader="none" w:pos="1000" w:val="left"/>
        </w:tabs>
        <w:numPr>
          <w:ilvl w:val="0"/>
          <w:numId w:val="16"/>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specify the name and number of the account at DTC to be credited with the withdrawn Old Notes.</w:t>
      </w:r>
    </w:p>
    <w:p>
      <w:pPr>
        <w:spacing w:after="0" w:line="168" w:lineRule="exact"/>
        <w:rPr>
          <w:sz w:val="20"/>
          <w:szCs w:val="20"/>
          <w:color w:val="auto"/>
        </w:rPr>
      </w:pPr>
    </w:p>
    <w:p>
      <w:pPr>
        <w:ind w:right="120" w:firstLine="495"/>
        <w:spacing w:after="0" w:line="252" w:lineRule="auto"/>
        <w:rPr>
          <w:sz w:val="20"/>
          <w:szCs w:val="20"/>
          <w:color w:val="auto"/>
        </w:rPr>
      </w:pPr>
      <w:r>
        <w:rPr>
          <w:rFonts w:ascii="Times New Roman" w:cs="Times New Roman" w:eastAsia="Times New Roman" w:hAnsi="Times New Roman"/>
          <w:sz w:val="14"/>
          <w:szCs w:val="14"/>
          <w:color w:val="auto"/>
        </w:rPr>
        <w:t xml:space="preserve">We will determine all questions as to the validity, form and eligibility (including time of receipt) of such withdrawal notices. Any Old Notes so withdrawn will be considered not to have been validly tendered for purposes of the exchange offer, and no New Notes will be issued in exchange for such Old Notes unless the Old Notes withdrawn are validly re-tendered. Any Old Notes which have been tendered but which are not accepted for exchange or which are withdrawn will be returned to the holder, without expense to such holder, promptly after withdrawal, rejection of tender or termination of the exchange offer. Validly withdrawn Old Notes may be re-tendered by following one of the procedures described above under the section entitled “— </w:t>
      </w:r>
      <w:r>
        <w:rPr>
          <w:rFonts w:ascii="Times New Roman" w:cs="Times New Roman" w:eastAsia="Times New Roman" w:hAnsi="Times New Roman"/>
          <w:sz w:val="14"/>
          <w:szCs w:val="14"/>
          <w:i w:val="1"/>
          <w:iCs w:val="1"/>
          <w:color w:val="auto"/>
        </w:rPr>
        <w:t>Procedures for Tendering Old Notes</w:t>
      </w:r>
      <w:r>
        <w:rPr>
          <w:rFonts w:ascii="Times New Roman" w:cs="Times New Roman" w:eastAsia="Times New Roman" w:hAnsi="Times New Roman"/>
          <w:sz w:val="14"/>
          <w:szCs w:val="14"/>
          <w:color w:val="auto"/>
        </w:rPr>
        <w:t>” beginning on page 25, at any time prior to the expiration date of the exchange offer.</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Exchange Agent</w:t>
      </w:r>
    </w:p>
    <w:p>
      <w:pPr>
        <w:spacing w:after="0" w:line="173" w:lineRule="exact"/>
        <w:rPr>
          <w:sz w:val="20"/>
          <w:szCs w:val="20"/>
          <w:color w:val="auto"/>
        </w:rPr>
      </w:pPr>
    </w:p>
    <w:p>
      <w:pPr>
        <w:ind w:right="420" w:firstLine="495"/>
        <w:spacing w:after="0" w:line="271" w:lineRule="auto"/>
        <w:rPr>
          <w:sz w:val="20"/>
          <w:szCs w:val="20"/>
          <w:color w:val="auto"/>
        </w:rPr>
      </w:pPr>
      <w:r>
        <w:rPr>
          <w:rFonts w:ascii="Times New Roman" w:cs="Times New Roman" w:eastAsia="Times New Roman" w:hAnsi="Times New Roman"/>
          <w:sz w:val="14"/>
          <w:szCs w:val="14"/>
          <w:color w:val="auto"/>
        </w:rPr>
        <w:t>UMB Bank, N.A., the trustee under the indenture, has been appointed the exchange agent for this exchange offer. Questions, requests for assistance and requests for additional copies of this prospectus, the letter of transmittal and other related documents should be directed to the exchange agent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960" w:type="dxa"/>
            <w:vAlign w:val="bottom"/>
          </w:tcPr>
          <w:p>
            <w:pPr>
              <w:spacing w:after="0"/>
              <w:rPr>
                <w:sz w:val="20"/>
                <w:szCs w:val="20"/>
                <w:color w:val="auto"/>
              </w:rPr>
            </w:pPr>
            <w:r>
              <w:rPr>
                <w:rFonts w:ascii="Times New Roman" w:cs="Times New Roman" w:eastAsia="Times New Roman" w:hAnsi="Times New Roman"/>
                <w:sz w:val="14"/>
                <w:szCs w:val="14"/>
                <w:color w:val="auto"/>
              </w:rPr>
              <w:t>By Mail or Hand Delivery:</w:t>
            </w:r>
          </w:p>
        </w:tc>
        <w:tc>
          <w:tcPr>
            <w:tcW w:w="2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UMB Bank, N.A.</w:t>
            </w:r>
          </w:p>
        </w:tc>
      </w:tr>
      <w:tr>
        <w:trPr>
          <w:trHeight w:val="165"/>
        </w:trPr>
        <w:tc>
          <w:tcPr>
            <w:tcW w:w="3960" w:type="dxa"/>
            <w:vAlign w:val="bottom"/>
          </w:tcPr>
          <w:p>
            <w:pPr>
              <w:spacing w:after="0"/>
              <w:rPr>
                <w:sz w:val="14"/>
                <w:szCs w:val="14"/>
                <w:color w:val="auto"/>
              </w:rPr>
            </w:pPr>
          </w:p>
        </w:tc>
        <w:tc>
          <w:tcPr>
            <w:tcW w:w="2000" w:type="dxa"/>
            <w:vAlign w:val="bottom"/>
            <w:gridSpan w:val="2"/>
          </w:tcPr>
          <w:p>
            <w:pPr>
              <w:spacing w:after="0"/>
              <w:rPr>
                <w:sz w:val="20"/>
                <w:szCs w:val="20"/>
                <w:color w:val="auto"/>
              </w:rPr>
            </w:pPr>
            <w:r>
              <w:rPr>
                <w:rFonts w:ascii="Times New Roman" w:cs="Times New Roman" w:eastAsia="Times New Roman" w:hAnsi="Times New Roman"/>
                <w:sz w:val="14"/>
                <w:szCs w:val="14"/>
                <w:color w:val="auto"/>
                <w:w w:val="96"/>
              </w:rPr>
              <w:t>Attn: James Henry / Corporate Trust</w:t>
            </w:r>
          </w:p>
        </w:tc>
      </w:tr>
      <w:tr>
        <w:trPr>
          <w:trHeight w:val="165"/>
        </w:trPr>
        <w:tc>
          <w:tcPr>
            <w:tcW w:w="3960" w:type="dxa"/>
            <w:vAlign w:val="bottom"/>
          </w:tcPr>
          <w:p>
            <w:pPr>
              <w:spacing w:after="0"/>
              <w:rPr>
                <w:sz w:val="14"/>
                <w:szCs w:val="14"/>
                <w:color w:val="auto"/>
              </w:rPr>
            </w:pPr>
          </w:p>
        </w:tc>
        <w:tc>
          <w:tcPr>
            <w:tcW w:w="2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5555 San Felipe, Suite 870</w:t>
            </w:r>
          </w:p>
        </w:tc>
      </w:tr>
      <w:tr>
        <w:trPr>
          <w:trHeight w:val="178"/>
        </w:trPr>
        <w:tc>
          <w:tcPr>
            <w:tcW w:w="3960" w:type="dxa"/>
            <w:vAlign w:val="bottom"/>
          </w:tcPr>
          <w:p>
            <w:pPr>
              <w:spacing w:after="0"/>
              <w:rPr>
                <w:sz w:val="15"/>
                <w:szCs w:val="15"/>
                <w:color w:val="auto"/>
              </w:rPr>
            </w:pPr>
          </w:p>
        </w:tc>
        <w:tc>
          <w:tcPr>
            <w:tcW w:w="2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Houston, Texas 77056</w:t>
            </w:r>
          </w:p>
        </w:tc>
      </w:tr>
      <w:tr>
        <w:trPr>
          <w:trHeight w:val="330"/>
        </w:trPr>
        <w:tc>
          <w:tcPr>
            <w:tcW w:w="3960" w:type="dxa"/>
            <w:vAlign w:val="bottom"/>
          </w:tcPr>
          <w:p>
            <w:pPr>
              <w:spacing w:after="0"/>
              <w:rPr>
                <w:sz w:val="20"/>
                <w:szCs w:val="20"/>
                <w:color w:val="auto"/>
              </w:rPr>
            </w:pPr>
            <w:r>
              <w:rPr>
                <w:rFonts w:ascii="Times New Roman" w:cs="Times New Roman" w:eastAsia="Times New Roman" w:hAnsi="Times New Roman"/>
                <w:sz w:val="14"/>
                <w:szCs w:val="14"/>
                <w:color w:val="auto"/>
              </w:rPr>
              <w:t>Telephone:</w:t>
            </w:r>
          </w:p>
        </w:tc>
        <w:tc>
          <w:tcPr>
            <w:tcW w:w="1300" w:type="dxa"/>
            <w:vAlign w:val="bottom"/>
          </w:tcPr>
          <w:p>
            <w:pPr>
              <w:spacing w:after="0"/>
              <w:rPr>
                <w:sz w:val="20"/>
                <w:szCs w:val="20"/>
                <w:color w:val="auto"/>
              </w:rPr>
            </w:pPr>
            <w:r>
              <w:rPr>
                <w:rFonts w:ascii="Times New Roman" w:cs="Times New Roman" w:eastAsia="Times New Roman" w:hAnsi="Times New Roman"/>
                <w:sz w:val="14"/>
                <w:szCs w:val="14"/>
                <w:color w:val="auto"/>
              </w:rPr>
              <w:t>(512) 582-5851</w:t>
            </w:r>
          </w:p>
        </w:tc>
        <w:tc>
          <w:tcPr>
            <w:tcW w:w="700" w:type="dxa"/>
            <w:vAlign w:val="bottom"/>
          </w:tcPr>
          <w:p>
            <w:pPr>
              <w:spacing w:after="0"/>
              <w:rPr>
                <w:sz w:val="24"/>
                <w:szCs w:val="24"/>
                <w:color w:val="auto"/>
              </w:rPr>
            </w:pPr>
          </w:p>
        </w:tc>
      </w:tr>
      <w:tr>
        <w:trPr>
          <w:trHeight w:val="330"/>
        </w:trPr>
        <w:tc>
          <w:tcPr>
            <w:tcW w:w="3960" w:type="dxa"/>
            <w:vAlign w:val="bottom"/>
          </w:tcPr>
          <w:p>
            <w:pPr>
              <w:spacing w:after="0"/>
              <w:rPr>
                <w:sz w:val="20"/>
                <w:szCs w:val="20"/>
                <w:color w:val="auto"/>
              </w:rPr>
            </w:pPr>
            <w:r>
              <w:rPr>
                <w:rFonts w:ascii="Times New Roman" w:cs="Times New Roman" w:eastAsia="Times New Roman" w:hAnsi="Times New Roman"/>
                <w:sz w:val="14"/>
                <w:szCs w:val="14"/>
                <w:color w:val="auto"/>
              </w:rPr>
              <w:t>Facsimile:</w:t>
            </w:r>
          </w:p>
        </w:tc>
        <w:tc>
          <w:tcPr>
            <w:tcW w:w="1300" w:type="dxa"/>
            <w:vAlign w:val="bottom"/>
          </w:tcPr>
          <w:p>
            <w:pPr>
              <w:spacing w:after="0"/>
              <w:rPr>
                <w:sz w:val="20"/>
                <w:szCs w:val="20"/>
                <w:color w:val="auto"/>
              </w:rPr>
            </w:pPr>
            <w:r>
              <w:rPr>
                <w:rFonts w:ascii="Times New Roman" w:cs="Times New Roman" w:eastAsia="Times New Roman" w:hAnsi="Times New Roman"/>
                <w:sz w:val="14"/>
                <w:szCs w:val="14"/>
                <w:color w:val="auto"/>
              </w:rPr>
              <w:t>(214) 389-5949</w:t>
            </w:r>
          </w:p>
        </w:tc>
        <w:tc>
          <w:tcPr>
            <w:tcW w:w="700" w:type="dxa"/>
            <w:vAlign w:val="bottom"/>
          </w:tcPr>
          <w:p>
            <w:pPr>
              <w:spacing w:after="0"/>
              <w:rPr>
                <w:sz w:val="24"/>
                <w:szCs w:val="24"/>
                <w:color w:val="auto"/>
              </w:rPr>
            </w:pPr>
          </w:p>
        </w:tc>
      </w:tr>
      <w:tr>
        <w:trPr>
          <w:trHeight w:val="298"/>
        </w:trPr>
        <w:tc>
          <w:tcPr>
            <w:tcW w:w="3960" w:type="dxa"/>
            <w:vAlign w:val="bottom"/>
          </w:tcPr>
          <w:p>
            <w:pPr>
              <w:spacing w:after="0"/>
              <w:rPr>
                <w:sz w:val="20"/>
                <w:szCs w:val="20"/>
                <w:color w:val="auto"/>
              </w:rPr>
            </w:pPr>
            <w:r>
              <w:rPr>
                <w:rFonts w:ascii="Times New Roman" w:cs="Times New Roman" w:eastAsia="Times New Roman" w:hAnsi="Times New Roman"/>
                <w:sz w:val="14"/>
                <w:szCs w:val="14"/>
                <w:color w:val="auto"/>
              </w:rPr>
              <w:t>Email:</w:t>
            </w:r>
          </w:p>
        </w:tc>
        <w:tc>
          <w:tcPr>
            <w:tcW w:w="2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james.henry@umb.com</w:t>
            </w:r>
          </w:p>
        </w:tc>
      </w:tr>
      <w:tr>
        <w:trPr>
          <w:trHeight w:val="20"/>
        </w:trPr>
        <w:tc>
          <w:tcPr>
            <w:tcW w:w="39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bl>
    <w:p>
      <w:pPr>
        <w:spacing w:after="0" w:line="173" w:lineRule="exact"/>
        <w:rPr>
          <w:sz w:val="20"/>
          <w:szCs w:val="20"/>
          <w:color w:val="auto"/>
        </w:rPr>
      </w:pPr>
    </w:p>
    <w:p>
      <w:pPr>
        <w:ind w:right="220" w:firstLine="495"/>
        <w:spacing w:after="0" w:line="271" w:lineRule="auto"/>
        <w:rPr>
          <w:sz w:val="20"/>
          <w:szCs w:val="20"/>
          <w:color w:val="auto"/>
        </w:rPr>
      </w:pPr>
      <w:r>
        <w:rPr>
          <w:rFonts w:ascii="Times New Roman" w:cs="Times New Roman" w:eastAsia="Times New Roman" w:hAnsi="Times New Roman"/>
          <w:sz w:val="14"/>
          <w:szCs w:val="14"/>
          <w:color w:val="auto"/>
        </w:rPr>
        <w:t>We will pay the exchange agent reasonable and customary fees for its services (including attorneys’ fees) and will reimburse it for its reasonable, out-of-pocket expenses in connection with this exchange offer.</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Fees and Expenses</w:t>
      </w:r>
    </w:p>
    <w:p>
      <w:pPr>
        <w:spacing w:after="0" w:line="173" w:lineRule="exact"/>
        <w:rPr>
          <w:sz w:val="20"/>
          <w:szCs w:val="20"/>
          <w:color w:val="auto"/>
        </w:rPr>
      </w:pPr>
    </w:p>
    <w:p>
      <w:pPr>
        <w:ind w:firstLine="495"/>
        <w:spacing w:after="0" w:line="271" w:lineRule="auto"/>
        <w:rPr>
          <w:sz w:val="20"/>
          <w:szCs w:val="20"/>
          <w:color w:val="auto"/>
        </w:rPr>
      </w:pPr>
      <w:r>
        <w:rPr>
          <w:rFonts w:ascii="Times New Roman" w:cs="Times New Roman" w:eastAsia="Times New Roman" w:hAnsi="Times New Roman"/>
          <w:sz w:val="14"/>
          <w:szCs w:val="14"/>
          <w:color w:val="auto"/>
        </w:rPr>
        <w:t>We will bear the expenses of soliciting tenders of the Old Notes and issuance of the New Notes. The principal solicitation is being made by mail. However, we may make additional solicitations by email, telephone or in person by our officers and employees and those of our affiliates.</w:t>
      </w:r>
    </w:p>
    <w:p>
      <w:pPr>
        <w:spacing w:after="0" w:line="131" w:lineRule="exact"/>
        <w:rPr>
          <w:sz w:val="20"/>
          <w:szCs w:val="20"/>
          <w:color w:val="auto"/>
        </w:rPr>
      </w:pPr>
    </w:p>
    <w:p>
      <w:pPr>
        <w:ind w:right="60" w:firstLine="495"/>
        <w:spacing w:after="0" w:line="258" w:lineRule="auto"/>
        <w:rPr>
          <w:sz w:val="20"/>
          <w:szCs w:val="20"/>
          <w:color w:val="auto"/>
        </w:rPr>
      </w:pPr>
      <w:r>
        <w:rPr>
          <w:rFonts w:ascii="Times New Roman" w:cs="Times New Roman" w:eastAsia="Times New Roman" w:hAnsi="Times New Roman"/>
          <w:sz w:val="14"/>
          <w:szCs w:val="14"/>
          <w:color w:val="auto"/>
        </w:rPr>
        <w:t>We have not retained any dealer-manager in connection with the exchange offer and will not make any payments to broker-dealers or others soliciting acceptances of the exchange offer. As indicated above, we will, however, pay the exchange agent reasonable and customary fees for its services and reimburse it for its related reasonable out-of-pocket expenses. We will also pay any other cash expenses that we incur in connection with the exchange offer.</w:t>
      </w:r>
    </w:p>
    <w:p>
      <w:pPr>
        <w:spacing w:after="0" w:line="140" w:lineRule="exact"/>
        <w:rPr>
          <w:sz w:val="20"/>
          <w:szCs w:val="20"/>
          <w:color w:val="auto"/>
        </w:rPr>
      </w:pPr>
    </w:p>
    <w:p>
      <w:pPr>
        <w:ind w:right="100" w:firstLine="495"/>
        <w:spacing w:after="0" w:line="271" w:lineRule="auto"/>
        <w:rPr>
          <w:sz w:val="20"/>
          <w:szCs w:val="20"/>
          <w:color w:val="auto"/>
        </w:rPr>
      </w:pPr>
      <w:r>
        <w:rPr>
          <w:rFonts w:ascii="Times New Roman" w:cs="Times New Roman" w:eastAsia="Times New Roman" w:hAnsi="Times New Roman"/>
          <w:sz w:val="14"/>
          <w:szCs w:val="14"/>
          <w:color w:val="auto"/>
        </w:rPr>
        <w:t>Except as described below, we will pay all transfer taxes, if any, applicable to the exchange of Old Notes under the exchange offer. The tendering holder will be required to pay any transfer taxes, whether imposed on the registered holder or any other person, if:</w:t>
      </w:r>
    </w:p>
    <w:p>
      <w:pPr>
        <w:spacing w:after="0" w:line="131" w:lineRule="exact"/>
        <w:rPr>
          <w:sz w:val="20"/>
          <w:szCs w:val="20"/>
          <w:color w:val="auto"/>
        </w:rPr>
      </w:pPr>
    </w:p>
    <w:p>
      <w:pPr>
        <w:ind w:left="1000" w:right="480" w:hanging="503"/>
        <w:spacing w:after="0" w:line="270" w:lineRule="auto"/>
        <w:tabs>
          <w:tab w:leader="none" w:pos="1000" w:val="left"/>
        </w:tabs>
        <w:numPr>
          <w:ilvl w:val="0"/>
          <w:numId w:val="17"/>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New Notes and/or substitute Old Notes not exchanged are to be delivered to, or registered or issued in the name of, any person other than the registered holder of the Old Notes so exchanged;</w:t>
      </w:r>
    </w:p>
    <w:p>
      <w:pPr>
        <w:spacing w:after="0" w:line="131" w:lineRule="exact"/>
        <w:rPr>
          <w:rFonts w:ascii="Arial" w:cs="Arial" w:eastAsia="Arial" w:hAnsi="Arial"/>
          <w:sz w:val="14"/>
          <w:szCs w:val="14"/>
          <w:b w:val="1"/>
          <w:bCs w:val="1"/>
          <w:color w:val="auto"/>
        </w:rPr>
      </w:pPr>
    </w:p>
    <w:p>
      <w:pPr>
        <w:ind w:left="1000" w:hanging="503"/>
        <w:spacing w:after="0"/>
        <w:tabs>
          <w:tab w:leader="none" w:pos="1000" w:val="left"/>
        </w:tabs>
        <w:numPr>
          <w:ilvl w:val="0"/>
          <w:numId w:val="17"/>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tendered Old Notes are registered in the name of any person other than the person signing such letter of transmittal; or</w:t>
      </w:r>
    </w:p>
    <w:p>
      <w:pPr>
        <w:spacing w:after="0" w:line="168" w:lineRule="exact"/>
        <w:rPr>
          <w:rFonts w:ascii="Arial" w:cs="Arial" w:eastAsia="Arial" w:hAnsi="Arial"/>
          <w:sz w:val="14"/>
          <w:szCs w:val="14"/>
          <w:b w:val="1"/>
          <w:bCs w:val="1"/>
          <w:color w:val="auto"/>
        </w:rPr>
      </w:pPr>
    </w:p>
    <w:p>
      <w:pPr>
        <w:ind w:left="1000" w:hanging="503"/>
        <w:spacing w:after="0"/>
        <w:tabs>
          <w:tab w:leader="none" w:pos="1000" w:val="left"/>
        </w:tabs>
        <w:numPr>
          <w:ilvl w:val="0"/>
          <w:numId w:val="17"/>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a transfer tax is imposed for any reason other than the exchange of Old Notes under the exchange offer.</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wp:posOffset>
            </wp:positionV>
            <wp:extent cx="7164705" cy="63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6">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724" w:right="319" w:bottom="1440" w:gutter="0" w:footer="0" w:header="0"/>
        </w:sectPr>
      </w:pPr>
    </w:p>
    <w:bookmarkStart w:id="32" w:name="page33"/>
    <w:bookmarkEnd w:id="32"/>
    <w:p>
      <w:pPr>
        <w:ind w:left="500"/>
        <w:spacing w:after="0"/>
        <w:rPr>
          <w:sz w:val="20"/>
          <w:szCs w:val="20"/>
          <w:color w:val="auto"/>
        </w:rPr>
      </w:pPr>
      <w:r>
        <w:rPr>
          <w:rFonts w:ascii="Times New Roman" w:cs="Times New Roman" w:eastAsia="Times New Roman" w:hAnsi="Times New Roman"/>
          <w:sz w:val="14"/>
          <w:szCs w:val="14"/>
          <w:color w:val="auto"/>
        </w:rPr>
        <w:t>If satisfactory evidence of payment of transfer taxes is not submitted with such letter of transmittal, the amount of any transfer taxes will be billed to the tendering holder.</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Accounting Treatment</w:t>
      </w:r>
    </w:p>
    <w:p>
      <w:pPr>
        <w:spacing w:after="0" w:line="173" w:lineRule="exact"/>
        <w:rPr>
          <w:sz w:val="20"/>
          <w:szCs w:val="20"/>
          <w:color w:val="auto"/>
        </w:rPr>
      </w:pPr>
    </w:p>
    <w:p>
      <w:pPr>
        <w:ind w:right="80" w:firstLine="495"/>
        <w:spacing w:after="0" w:line="271" w:lineRule="auto"/>
        <w:rPr>
          <w:sz w:val="20"/>
          <w:szCs w:val="20"/>
          <w:color w:val="auto"/>
        </w:rPr>
      </w:pPr>
      <w:r>
        <w:rPr>
          <w:rFonts w:ascii="Times New Roman" w:cs="Times New Roman" w:eastAsia="Times New Roman" w:hAnsi="Times New Roman"/>
          <w:sz w:val="14"/>
          <w:szCs w:val="14"/>
          <w:color w:val="auto"/>
        </w:rPr>
        <w:t>We will record the New Notes at the same carrying value as the Old Notes reflected in our accounting records on the date of the exchange. Accordingly, we will not recognize any gain or loss for accounting purposes upon completion of the exchange offer.</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Consequences of Failure to Exchange</w:t>
      </w:r>
    </w:p>
    <w:p>
      <w:pPr>
        <w:spacing w:after="0" w:line="17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Old Notes that are not exchanged will be subject to the restrictions on transfer described in the Old Notes.</w:t>
      </w:r>
    </w:p>
    <w:p>
      <w:pPr>
        <w:spacing w:after="0" w:line="16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Accordingly, such Old Notes may not be offered, sold, pledged or otherwise transferred except:</w:t>
      </w:r>
    </w:p>
    <w:p>
      <w:pPr>
        <w:spacing w:after="0" w:line="169" w:lineRule="exact"/>
        <w:rPr>
          <w:sz w:val="20"/>
          <w:szCs w:val="20"/>
          <w:color w:val="auto"/>
        </w:rPr>
      </w:pPr>
    </w:p>
    <w:p>
      <w:pPr>
        <w:ind w:left="1000" w:hanging="503"/>
        <w:spacing w:after="0"/>
        <w:tabs>
          <w:tab w:leader="none" w:pos="1000" w:val="left"/>
        </w:tabs>
        <w:numPr>
          <w:ilvl w:val="0"/>
          <w:numId w:val="18"/>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to us or to any of our subsidiaries;</w:t>
      </w:r>
    </w:p>
    <w:p>
      <w:pPr>
        <w:spacing w:after="0" w:line="168" w:lineRule="exact"/>
        <w:rPr>
          <w:rFonts w:ascii="Arial" w:cs="Arial" w:eastAsia="Arial" w:hAnsi="Arial"/>
          <w:sz w:val="14"/>
          <w:szCs w:val="14"/>
          <w:b w:val="1"/>
          <w:bCs w:val="1"/>
          <w:color w:val="auto"/>
        </w:rPr>
      </w:pPr>
    </w:p>
    <w:p>
      <w:pPr>
        <w:ind w:left="1000" w:hanging="503"/>
        <w:spacing w:after="0"/>
        <w:tabs>
          <w:tab w:leader="none" w:pos="1000" w:val="left"/>
        </w:tabs>
        <w:numPr>
          <w:ilvl w:val="0"/>
          <w:numId w:val="18"/>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under a registration statement which has been declared effective under the Securities Act;</w:t>
      </w:r>
    </w:p>
    <w:p>
      <w:pPr>
        <w:spacing w:after="0" w:line="168" w:lineRule="exact"/>
        <w:rPr>
          <w:rFonts w:ascii="Arial" w:cs="Arial" w:eastAsia="Arial" w:hAnsi="Arial"/>
          <w:sz w:val="14"/>
          <w:szCs w:val="14"/>
          <w:b w:val="1"/>
          <w:bCs w:val="1"/>
          <w:color w:val="auto"/>
        </w:rPr>
      </w:pPr>
    </w:p>
    <w:p>
      <w:pPr>
        <w:ind w:left="1000" w:right="100" w:hanging="503"/>
        <w:spacing w:after="0" w:line="258" w:lineRule="auto"/>
        <w:tabs>
          <w:tab w:leader="none" w:pos="1000" w:val="left"/>
        </w:tabs>
        <w:numPr>
          <w:ilvl w:val="0"/>
          <w:numId w:val="18"/>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for so long as the Old Notes are eligible for resale pursuant to Rule 144A under the Securities Act, to a person the holder of the Old Notes and any person acting on its behalf reasonably believes is a “qualified institutional buyer” as defined in Rule 144A, that purchases for its own account or for the account of another qualified institutional buyer, in each case to whom notice is given that the transfer is being made in reliance on Rule 144A; or</w:t>
      </w:r>
    </w:p>
    <w:p>
      <w:pPr>
        <w:spacing w:after="0" w:line="139" w:lineRule="exact"/>
        <w:rPr>
          <w:rFonts w:ascii="Arial" w:cs="Arial" w:eastAsia="Arial" w:hAnsi="Arial"/>
          <w:sz w:val="14"/>
          <w:szCs w:val="14"/>
          <w:b w:val="1"/>
          <w:bCs w:val="1"/>
          <w:color w:val="auto"/>
        </w:rPr>
      </w:pPr>
    </w:p>
    <w:p>
      <w:pPr>
        <w:ind w:left="1000" w:right="60" w:hanging="503"/>
        <w:spacing w:after="0" w:line="270" w:lineRule="auto"/>
        <w:tabs>
          <w:tab w:leader="none" w:pos="1000" w:val="left"/>
        </w:tabs>
        <w:numPr>
          <w:ilvl w:val="0"/>
          <w:numId w:val="18"/>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under any other available exemption from the registration requirements of the Securities Act (in which case we and the trustee shall have the right to require the delivery of an opinion of counsel (at the holder’s sole cost), certifications and/or other information satisfactory to us and the trustee);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each case subject to compliance with any applicable foreign, state or other securities laws.</w:t>
      </w:r>
    </w:p>
    <w:p>
      <w:pPr>
        <w:spacing w:after="0" w:line="169" w:lineRule="exact"/>
        <w:rPr>
          <w:sz w:val="20"/>
          <w:szCs w:val="20"/>
          <w:color w:val="auto"/>
        </w:rPr>
      </w:pPr>
    </w:p>
    <w:p>
      <w:pPr>
        <w:ind w:firstLine="495"/>
        <w:spacing w:after="0" w:line="258" w:lineRule="auto"/>
        <w:rPr>
          <w:sz w:val="20"/>
          <w:szCs w:val="20"/>
          <w:color w:val="auto"/>
        </w:rPr>
      </w:pPr>
      <w:r>
        <w:rPr>
          <w:rFonts w:ascii="Times New Roman" w:cs="Times New Roman" w:eastAsia="Times New Roman" w:hAnsi="Times New Roman"/>
          <w:sz w:val="14"/>
          <w:szCs w:val="14"/>
          <w:color w:val="auto"/>
        </w:rPr>
        <w:t>Upon completion of the exchange offer, due to the restrictions on transfer of the Old Notes and the absence of such restrictions applicable to the New Notes, it is likely that the market, if any, for Old Notes will be relatively less liquid than the market for New Notes. Consequently, holders of Old Notes who do not participate in the exchange offer could experience significant diminution in the value of their Old Notes, compared to the value of the New Notes. The holders of Old Notes not tendered will have no further registration rights.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Additional Information Regarding the Registration Rights Agreement</w:t>
      </w:r>
    </w:p>
    <w:p>
      <w:pPr>
        <w:spacing w:after="0" w:line="173" w:lineRule="exact"/>
        <w:rPr>
          <w:sz w:val="20"/>
          <w:szCs w:val="20"/>
          <w:color w:val="auto"/>
        </w:rPr>
      </w:pPr>
    </w:p>
    <w:p>
      <w:pPr>
        <w:ind w:right="260" w:firstLine="495"/>
        <w:spacing w:after="0" w:line="258" w:lineRule="auto"/>
        <w:rPr>
          <w:sz w:val="20"/>
          <w:szCs w:val="20"/>
          <w:color w:val="auto"/>
        </w:rPr>
      </w:pPr>
      <w:r>
        <w:rPr>
          <w:rFonts w:ascii="Times New Roman" w:cs="Times New Roman" w:eastAsia="Times New Roman" w:hAnsi="Times New Roman"/>
          <w:sz w:val="14"/>
          <w:szCs w:val="14"/>
          <w:color w:val="auto"/>
        </w:rPr>
        <w:t>As noted above, we are effecting the exchange offer to comply with the registration rights agreements. The registration rights agreements require us to cause an exchange offer registration statement to be filed with the SEC under the Securities Act, use our commercially reasonable efforts to cause the registration statement to become effective, and satisfy certain other obligations, within certain time periods.</w:t>
      </w:r>
    </w:p>
    <w:p>
      <w:pPr>
        <w:spacing w:after="0" w:line="14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In the event that:</w:t>
      </w:r>
    </w:p>
    <w:p>
      <w:pPr>
        <w:spacing w:after="0" w:line="169" w:lineRule="exact"/>
        <w:rPr>
          <w:sz w:val="20"/>
          <w:szCs w:val="20"/>
          <w:color w:val="auto"/>
        </w:rPr>
      </w:pPr>
    </w:p>
    <w:p>
      <w:pPr>
        <w:ind w:left="1000" w:hanging="503"/>
        <w:spacing w:after="0"/>
        <w:tabs>
          <w:tab w:leader="none" w:pos="1000" w:val="left"/>
        </w:tabs>
        <w:numPr>
          <w:ilvl w:val="0"/>
          <w:numId w:val="19"/>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the registration statement is not filed with the SEC on or prior to the ninetieth (90th) day after March 12, 2026;</w:t>
      </w:r>
    </w:p>
    <w:p>
      <w:pPr>
        <w:spacing w:after="0" w:line="168" w:lineRule="exact"/>
        <w:rPr>
          <w:rFonts w:ascii="Arial" w:cs="Arial" w:eastAsia="Arial" w:hAnsi="Arial"/>
          <w:sz w:val="14"/>
          <w:szCs w:val="14"/>
          <w:b w:val="1"/>
          <w:bCs w:val="1"/>
          <w:color w:val="auto"/>
        </w:rPr>
      </w:pPr>
    </w:p>
    <w:p>
      <w:pPr>
        <w:ind w:left="1000" w:hanging="503"/>
        <w:spacing w:after="0"/>
        <w:tabs>
          <w:tab w:leader="none" w:pos="1000" w:val="left"/>
        </w:tabs>
        <w:numPr>
          <w:ilvl w:val="0"/>
          <w:numId w:val="19"/>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the registration statement is not declared effective by the SEC on or prior to the one-hundred fiftieth (150th) day after March 12, 2026;</w:t>
      </w:r>
    </w:p>
    <w:p>
      <w:pPr>
        <w:spacing w:after="0" w:line="168" w:lineRule="exact"/>
        <w:rPr>
          <w:rFonts w:ascii="Arial" w:cs="Arial" w:eastAsia="Arial" w:hAnsi="Arial"/>
          <w:sz w:val="14"/>
          <w:szCs w:val="14"/>
          <w:b w:val="1"/>
          <w:bCs w:val="1"/>
          <w:color w:val="auto"/>
        </w:rPr>
      </w:pPr>
    </w:p>
    <w:p>
      <w:pPr>
        <w:ind w:left="1000" w:hanging="503"/>
        <w:spacing w:after="0"/>
        <w:tabs>
          <w:tab w:leader="none" w:pos="1000" w:val="left"/>
        </w:tabs>
        <w:numPr>
          <w:ilvl w:val="0"/>
          <w:numId w:val="19"/>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the exchange offer is not consummated within forty-five (45) days following the effective date of the registration statement;</w:t>
      </w: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wp:posOffset>
            </wp:positionV>
            <wp:extent cx="7164705" cy="63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7">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40"/>
          </w:cols>
          <w:pgMar w:left="300" w:top="724" w:right="359" w:bottom="1440" w:gutter="0" w:footer="0" w:header="0"/>
        </w:sectPr>
      </w:pPr>
    </w:p>
    <w:bookmarkStart w:id="33" w:name="page34"/>
    <w:bookmarkEnd w:id="33"/>
    <w:p>
      <w:pPr>
        <w:ind w:left="1000" w:hanging="503"/>
        <w:spacing w:after="0" w:line="270" w:lineRule="auto"/>
        <w:tabs>
          <w:tab w:leader="none" w:pos="1000" w:val="left"/>
        </w:tabs>
        <w:numPr>
          <w:ilvl w:val="0"/>
          <w:numId w:val="20"/>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if required, a shelf registration statement is not filed with the SEC on or prior to (A) the one-hundred eightieth (180th) day following March 12, 2026 or (B) the sixtieth (60th) day after the obligation to file a shelf registration statement with the SEC arises, whichever is later;</w:t>
      </w:r>
    </w:p>
    <w:p>
      <w:pPr>
        <w:spacing w:after="0" w:line="131" w:lineRule="exact"/>
        <w:rPr>
          <w:rFonts w:ascii="Arial" w:cs="Arial" w:eastAsia="Arial" w:hAnsi="Arial"/>
          <w:sz w:val="14"/>
          <w:szCs w:val="14"/>
          <w:b w:val="1"/>
          <w:bCs w:val="1"/>
          <w:color w:val="auto"/>
        </w:rPr>
      </w:pPr>
    </w:p>
    <w:p>
      <w:pPr>
        <w:ind w:left="1000" w:right="220" w:hanging="503"/>
        <w:spacing w:after="0" w:line="270" w:lineRule="auto"/>
        <w:tabs>
          <w:tab w:leader="none" w:pos="1000" w:val="left"/>
        </w:tabs>
        <w:numPr>
          <w:ilvl w:val="0"/>
          <w:numId w:val="20"/>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if required, a shelf registration statement is not effective on or prior to (A) the two-hundred twenty-fifth (225th) day following March 12, 2026 or (B) the one-hundred fifth (105th) day after an obligation to file with the SEC a shelf registration statement arises, whichever is later;</w:t>
      </w:r>
    </w:p>
    <w:p>
      <w:pPr>
        <w:spacing w:after="0" w:line="131" w:lineRule="exact"/>
        <w:rPr>
          <w:rFonts w:ascii="Arial" w:cs="Arial" w:eastAsia="Arial" w:hAnsi="Arial"/>
          <w:sz w:val="14"/>
          <w:szCs w:val="14"/>
          <w:b w:val="1"/>
          <w:bCs w:val="1"/>
          <w:color w:val="auto"/>
        </w:rPr>
      </w:pPr>
    </w:p>
    <w:p>
      <w:pPr>
        <w:ind w:left="1000" w:right="20" w:hanging="503"/>
        <w:spacing w:after="0" w:line="252" w:lineRule="auto"/>
        <w:tabs>
          <w:tab w:leader="none" w:pos="1000" w:val="left"/>
        </w:tabs>
        <w:numPr>
          <w:ilvl w:val="0"/>
          <w:numId w:val="20"/>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a shelf registration statement is effective with the SEC but such shelf registration statement ceases to be effective or such shelf registration statement or the prospectus included therein ceases to be usable in connection with resales of the registrable securities for any act or omission of the Company and (A) the aggregate number of days in any consecutive three-hundred sixty-five (365)-day period for which the shelf registration statement or such prospectus shall not be effective or usable exceeds one-hundred twenty (120) days, (B) the shelf registration statement or such prospectus shall not be effective or usable for more than two (2) periods (regardless of duration) in any consecutive three-hundred sixty-five (365)-day period, or (C) the shelf registration statement or such prospectus shall not be effective or usable for a period of more than ninety (90) consecutive days; or</w:t>
      </w:r>
    </w:p>
    <w:p>
      <w:pPr>
        <w:spacing w:after="0" w:line="143" w:lineRule="exact"/>
        <w:rPr>
          <w:rFonts w:ascii="Arial" w:cs="Arial" w:eastAsia="Arial" w:hAnsi="Arial"/>
          <w:sz w:val="14"/>
          <w:szCs w:val="14"/>
          <w:b w:val="1"/>
          <w:bCs w:val="1"/>
          <w:color w:val="auto"/>
        </w:rPr>
      </w:pPr>
    </w:p>
    <w:p>
      <w:pPr>
        <w:ind w:left="1000" w:right="20" w:hanging="503"/>
        <w:spacing w:after="0" w:line="250" w:lineRule="auto"/>
        <w:tabs>
          <w:tab w:leader="none" w:pos="1000" w:val="left"/>
        </w:tabs>
        <w:numPr>
          <w:ilvl w:val="0"/>
          <w:numId w:val="20"/>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the registration statement is effective with the SEC but, if the registration statement is being used in connection with the resale of the New Notes, the registration statement ceases to be effective or the registration statement or the prospectus included therein ceases to be usable in connection with resales of New Notes due to any act or omission of the Company during the one-hundred eighty (180)-day period following the last date on which exchanges are accepted and (A) the aggregate number of days in any consecutive three-hundred sixty-five (365)-day period for which the registration statement or such prospectus shall not be effective or usable exceeds one-hundred twenty (120) days, (B) the registration statement or such prospectus shall not be effective or usable for more than two (2) periods (regardless of duration) in any consecutive three-hundred sixty-five (365)-day period, or (C) the registration statement or the prospectus shall not be effective or usable for a period of more than ninety (90) consecutive days;</w:t>
      </w:r>
    </w:p>
    <w:p>
      <w:pPr>
        <w:spacing w:after="0" w:line="147"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4"/>
          <w:szCs w:val="14"/>
          <w:color w:val="auto"/>
        </w:rPr>
        <w:t>the interest rate on the Old Notes will be increased by 0.25% per annum immediately following the applicable date of such registration default and will increase by an additional 0.25% per annum immediately following each ninety (90)-day period during which additional interest accrues, but in no event will such increase exceed 0.50% per annum. If at any time more than one registration default has occurred and is continuing, the increase in interest rate will apply as if there occurred a single registration default that begins on the date that the earliest such registration default occurred and ends on such date that there is no registration default. Following the cure of all such registration defaults, the accrual of additional interest will cease and the interest rate will be reduced to the original interest rate borne by the Old Notes.</w:t>
      </w:r>
    </w:p>
    <w:p>
      <w:pPr>
        <w:spacing w:after="0" w:line="144" w:lineRule="exact"/>
        <w:rPr>
          <w:sz w:val="20"/>
          <w:szCs w:val="20"/>
          <w:color w:val="auto"/>
        </w:rPr>
      </w:pPr>
    </w:p>
    <w:p>
      <w:pPr>
        <w:ind w:right="220" w:firstLine="495"/>
        <w:spacing w:after="0" w:line="271" w:lineRule="auto"/>
        <w:rPr>
          <w:sz w:val="20"/>
          <w:szCs w:val="20"/>
          <w:color w:val="auto"/>
        </w:rPr>
      </w:pPr>
      <w:r>
        <w:rPr>
          <w:rFonts w:ascii="Times New Roman" w:cs="Times New Roman" w:eastAsia="Times New Roman" w:hAnsi="Times New Roman"/>
          <w:sz w:val="14"/>
          <w:szCs w:val="14"/>
          <w:color w:val="auto"/>
        </w:rPr>
        <w:t>Our obligation to register the New Notes will terminate upon completion of the exchange offer. However, under certain limited circumstances specified in the registration rights agreements, we may be required to file a shelf registration statement for a continuous offer in connection with the Old Notes.</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wp:posOffset>
            </wp:positionV>
            <wp:extent cx="7164705" cy="63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8">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724" w:right="319" w:bottom="1440" w:gutter="0" w:footer="0" w:header="0"/>
        </w:sectPr>
      </w:pPr>
    </w:p>
    <w:bookmarkStart w:id="34" w:name="page35"/>
    <w:bookmarkEnd w:id="34"/>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DESCRIPTION OF THE NOTES</w:t>
      </w:r>
    </w:p>
    <w:p>
      <w:pPr>
        <w:spacing w:after="0" w:line="173" w:lineRule="exact"/>
        <w:rPr>
          <w:sz w:val="20"/>
          <w:szCs w:val="20"/>
          <w:color w:val="auto"/>
        </w:rPr>
      </w:pPr>
    </w:p>
    <w:p>
      <w:pPr>
        <w:ind w:firstLine="495"/>
        <w:spacing w:after="0" w:line="254" w:lineRule="auto"/>
        <w:rPr>
          <w:sz w:val="20"/>
          <w:szCs w:val="20"/>
          <w:color w:val="auto"/>
        </w:rPr>
      </w:pPr>
      <w:r>
        <w:rPr>
          <w:rFonts w:ascii="Times New Roman" w:cs="Times New Roman" w:eastAsia="Times New Roman" w:hAnsi="Times New Roman"/>
          <w:sz w:val="14"/>
          <w:szCs w:val="14"/>
          <w:color w:val="auto"/>
        </w:rPr>
        <w:t>On March 12, 2026, we issued $35,000,000 in aggregate principal amount of our 7.25% Fixed-to-Floating Rate Subordinated Notes due 2036, which we have referred to in this prospectus as the Old Notes. The Old Notes were issued in a private placement transaction to certain qualified institutional buyers and accredited investors, and as such, were not registered under the Securities Act. The Old Notes were issued under an indenture dated March 12, 2026, between Hanover Bancorp, Inc., as issuer, and UMB Bank, N.A., as trustee, which we have referred to in this prospectus as the “indenture.” The term “notes” refers collectively to the Old Notes and the New Notes.</w:t>
      </w:r>
    </w:p>
    <w:p>
      <w:pPr>
        <w:spacing w:after="0" w:line="143" w:lineRule="exact"/>
        <w:rPr>
          <w:sz w:val="20"/>
          <w:szCs w:val="20"/>
          <w:color w:val="auto"/>
        </w:rPr>
      </w:pPr>
    </w:p>
    <w:p>
      <w:pPr>
        <w:ind w:right="200" w:firstLine="495"/>
        <w:spacing w:after="0" w:line="271" w:lineRule="auto"/>
        <w:rPr>
          <w:sz w:val="20"/>
          <w:szCs w:val="20"/>
          <w:color w:val="auto"/>
        </w:rPr>
      </w:pPr>
      <w:r>
        <w:rPr>
          <w:rFonts w:ascii="Times New Roman" w:cs="Times New Roman" w:eastAsia="Times New Roman" w:hAnsi="Times New Roman"/>
          <w:sz w:val="14"/>
          <w:szCs w:val="14"/>
          <w:color w:val="auto"/>
        </w:rPr>
        <w:t>The New Notes will be issued under the indenture and will evidence the same debt as the Old Notes. The terms of the New Notes are identical in all material respects to those of the Old Notes, except that:</w:t>
      </w:r>
    </w:p>
    <w:p>
      <w:pPr>
        <w:spacing w:after="0" w:line="131" w:lineRule="exact"/>
        <w:rPr>
          <w:sz w:val="20"/>
          <w:szCs w:val="20"/>
          <w:color w:val="auto"/>
        </w:rPr>
      </w:pPr>
    </w:p>
    <w:p>
      <w:pPr>
        <w:ind w:left="1000" w:hanging="503"/>
        <w:spacing w:after="0"/>
        <w:tabs>
          <w:tab w:leader="none" w:pos="1000" w:val="left"/>
        </w:tabs>
        <w:numPr>
          <w:ilvl w:val="0"/>
          <w:numId w:val="21"/>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the New Notes have been registered with the SEC under the Securities Act and, as a result, will not bear any legend restricting their transfer;</w:t>
      </w:r>
    </w:p>
    <w:p>
      <w:pPr>
        <w:spacing w:after="0" w:line="168" w:lineRule="exact"/>
        <w:rPr>
          <w:rFonts w:ascii="Arial" w:cs="Arial" w:eastAsia="Arial" w:hAnsi="Arial"/>
          <w:sz w:val="14"/>
          <w:szCs w:val="14"/>
          <w:b w:val="1"/>
          <w:bCs w:val="1"/>
          <w:color w:val="auto"/>
        </w:rPr>
      </w:pPr>
    </w:p>
    <w:p>
      <w:pPr>
        <w:ind w:left="1000" w:hanging="503"/>
        <w:spacing w:after="0"/>
        <w:tabs>
          <w:tab w:leader="none" w:pos="1000" w:val="left"/>
        </w:tabs>
        <w:numPr>
          <w:ilvl w:val="0"/>
          <w:numId w:val="21"/>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the New Notes bear a different CUSIP number from the Old Notes;</w:t>
      </w:r>
    </w:p>
    <w:p>
      <w:pPr>
        <w:spacing w:after="0" w:line="168" w:lineRule="exact"/>
        <w:rPr>
          <w:rFonts w:ascii="Arial" w:cs="Arial" w:eastAsia="Arial" w:hAnsi="Arial"/>
          <w:sz w:val="14"/>
          <w:szCs w:val="14"/>
          <w:b w:val="1"/>
          <w:bCs w:val="1"/>
          <w:color w:val="auto"/>
        </w:rPr>
      </w:pPr>
    </w:p>
    <w:p>
      <w:pPr>
        <w:ind w:left="1000" w:hanging="503"/>
        <w:spacing w:after="0"/>
        <w:tabs>
          <w:tab w:leader="none" w:pos="1000" w:val="left"/>
        </w:tabs>
        <w:numPr>
          <w:ilvl w:val="0"/>
          <w:numId w:val="21"/>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the New Notes generally will not be subject to transfer restrictions;</w:t>
      </w:r>
    </w:p>
    <w:p>
      <w:pPr>
        <w:spacing w:after="0" w:line="168" w:lineRule="exact"/>
        <w:rPr>
          <w:rFonts w:ascii="Arial" w:cs="Arial" w:eastAsia="Arial" w:hAnsi="Arial"/>
          <w:sz w:val="14"/>
          <w:szCs w:val="14"/>
          <w:b w:val="1"/>
          <w:bCs w:val="1"/>
          <w:color w:val="auto"/>
        </w:rPr>
      </w:pPr>
    </w:p>
    <w:p>
      <w:pPr>
        <w:ind w:left="1000" w:hanging="503"/>
        <w:spacing w:after="0"/>
        <w:tabs>
          <w:tab w:leader="none" w:pos="1000" w:val="left"/>
        </w:tabs>
        <w:numPr>
          <w:ilvl w:val="0"/>
          <w:numId w:val="21"/>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the New Notes will not be entitled to registration rights under the registration rights agreements or otherwise; and</w:t>
      </w:r>
    </w:p>
    <w:p>
      <w:pPr>
        <w:spacing w:after="0" w:line="168" w:lineRule="exact"/>
        <w:rPr>
          <w:rFonts w:ascii="Arial" w:cs="Arial" w:eastAsia="Arial" w:hAnsi="Arial"/>
          <w:sz w:val="14"/>
          <w:szCs w:val="14"/>
          <w:b w:val="1"/>
          <w:bCs w:val="1"/>
          <w:color w:val="auto"/>
        </w:rPr>
      </w:pPr>
    </w:p>
    <w:p>
      <w:pPr>
        <w:ind w:left="1000" w:right="600" w:hanging="503"/>
        <w:spacing w:after="0" w:line="270" w:lineRule="auto"/>
        <w:tabs>
          <w:tab w:leader="none" w:pos="1000" w:val="left"/>
        </w:tabs>
        <w:numPr>
          <w:ilvl w:val="0"/>
          <w:numId w:val="21"/>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because the New Notes will not be entitled to registration rights, holders of the New Notes will not have the right to additional interest under the circumstances described in the registration rights agreements relating to our fulfillment of our registration obligations.</w:t>
      </w:r>
    </w:p>
    <w:p>
      <w:pPr>
        <w:spacing w:after="0" w:line="132" w:lineRule="exact"/>
        <w:rPr>
          <w:sz w:val="20"/>
          <w:szCs w:val="20"/>
          <w:color w:val="auto"/>
        </w:rPr>
      </w:pPr>
    </w:p>
    <w:p>
      <w:pPr>
        <w:ind w:right="140" w:firstLine="495"/>
        <w:spacing w:after="0" w:line="258" w:lineRule="auto"/>
        <w:rPr>
          <w:sz w:val="20"/>
          <w:szCs w:val="20"/>
          <w:color w:val="auto"/>
        </w:rPr>
      </w:pPr>
      <w:r>
        <w:rPr>
          <w:rFonts w:ascii="Times New Roman" w:cs="Times New Roman" w:eastAsia="Times New Roman" w:hAnsi="Times New Roman"/>
          <w:sz w:val="14"/>
          <w:szCs w:val="14"/>
          <w:color w:val="auto"/>
        </w:rPr>
        <w:t>The New Notes will be issued only in fully registered form without interest coupons, in minimum denominations of $100,000 and any integral multiple of $1,000 in excess thereof. Unless otherwise required for accredited investors, the New Notes will be evidenced by a global note deposited with the trustee for the New Notes, as custodian for The Depository Trust Company, or DTC, and transfers of beneficial interests will be facilitated only through records maintained by DTC and its participants.</w:t>
      </w:r>
    </w:p>
    <w:p>
      <w:pPr>
        <w:spacing w:after="0" w:line="14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The terms of the New Notes include those stated in the indenture and those made part of the indenture by reference to the Trust Indenture Act of 1939, as amended (the “Trust Indenture Act”).</w:t>
      </w:r>
    </w:p>
    <w:p>
      <w:pPr>
        <w:spacing w:after="0" w:line="169" w:lineRule="exact"/>
        <w:rPr>
          <w:sz w:val="20"/>
          <w:szCs w:val="20"/>
          <w:color w:val="auto"/>
        </w:rPr>
      </w:pPr>
    </w:p>
    <w:p>
      <w:pPr>
        <w:jc w:val="both"/>
        <w:ind w:right="120" w:firstLine="495"/>
        <w:spacing w:after="0" w:line="252" w:lineRule="auto"/>
        <w:rPr>
          <w:sz w:val="20"/>
          <w:szCs w:val="20"/>
          <w:color w:val="auto"/>
        </w:rPr>
      </w:pPr>
      <w:r>
        <w:rPr>
          <w:rFonts w:ascii="Times New Roman" w:cs="Times New Roman" w:eastAsia="Times New Roman" w:hAnsi="Times New Roman"/>
          <w:sz w:val="14"/>
          <w:szCs w:val="14"/>
          <w:color w:val="auto"/>
        </w:rPr>
        <w:t>The following provides a summary of certain terms of the indenture and the New Notes. This summary is qualified in its entirety by reference to the complete version of the indenture, which is incorporated by reference as an exhibit to the registration statement of which this prospectus is a part and to the form of New Notes, which is included as an exhibit to the registration statement of which this prospectus is a part. We urge you to read the indenture and the form of New Notes because those documents, not this summary description, define your rights as holders of the New Notes. Whenever we refer to the defined terms of the indenture in this prospectus without defining them, the terms have the meanings given to them in the indenture. You must look to the indenture for the most complete description of the information summarized in this prospectus.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173" w:lineRule="exact"/>
        <w:rPr>
          <w:sz w:val="20"/>
          <w:szCs w:val="20"/>
          <w:color w:val="auto"/>
        </w:rPr>
      </w:pPr>
    </w:p>
    <w:p>
      <w:pPr>
        <w:ind w:firstLine="495"/>
        <w:spacing w:after="0" w:line="271" w:lineRule="auto"/>
        <w:rPr>
          <w:sz w:val="20"/>
          <w:szCs w:val="20"/>
          <w:color w:val="auto"/>
        </w:rPr>
      </w:pPr>
      <w:r>
        <w:rPr>
          <w:rFonts w:ascii="Times New Roman" w:cs="Times New Roman" w:eastAsia="Times New Roman" w:hAnsi="Times New Roman"/>
          <w:sz w:val="14"/>
          <w:szCs w:val="14"/>
          <w:color w:val="auto"/>
        </w:rPr>
        <w:t>The exchange offer for the New Notes will be for up to $35,000,000 in aggregate principal amount of the Old Notes. The New Notes, together with any Old Notes that remain outstanding after the exchange offer, will be treated as a single class for all purposes of the indenture, including, without limitation, waivers, consents, amendments, redemptions and offers to purchase.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Principal; Maturity and Interest</w:t>
      </w:r>
    </w:p>
    <w:p>
      <w:pPr>
        <w:spacing w:after="0" w:line="173" w:lineRule="exact"/>
        <w:rPr>
          <w:sz w:val="20"/>
          <w:szCs w:val="20"/>
          <w:color w:val="auto"/>
        </w:rPr>
      </w:pPr>
    </w:p>
    <w:p>
      <w:pPr>
        <w:ind w:right="120" w:firstLine="495"/>
        <w:spacing w:after="0" w:line="258" w:lineRule="auto"/>
        <w:rPr>
          <w:sz w:val="20"/>
          <w:szCs w:val="20"/>
          <w:color w:val="auto"/>
        </w:rPr>
      </w:pPr>
      <w:r>
        <w:rPr>
          <w:rFonts w:ascii="Times New Roman" w:cs="Times New Roman" w:eastAsia="Times New Roman" w:hAnsi="Times New Roman"/>
          <w:sz w:val="14"/>
          <w:szCs w:val="14"/>
          <w:color w:val="auto"/>
        </w:rPr>
        <w:t>The New Notes have materially identical interest terms as the Old Notes except with respect to additional interest that may be earned on the Old Notes under circumstances relating to our registration obligations under the registration rights agreements. Interest on the notes will accrue from and including March 12, 2026. The notes will mature and become payable, unless earlier redeemed, on March 15, 2036.</w:t>
      </w:r>
    </w:p>
    <w:p>
      <w:pPr>
        <w:spacing w:after="0" w:line="3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wp:posOffset>
            </wp:positionV>
            <wp:extent cx="7164705" cy="63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9">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40"/>
          </w:cols>
          <w:pgMar w:left="300" w:top="720" w:right="359" w:bottom="1440" w:gutter="0" w:footer="0" w:header="0"/>
        </w:sectPr>
      </w:pPr>
    </w:p>
    <w:bookmarkStart w:id="35" w:name="page36"/>
    <w:bookmarkEnd w:id="35"/>
    <w:p>
      <w:pPr>
        <w:ind w:right="40" w:firstLine="495"/>
        <w:spacing w:after="0" w:line="258" w:lineRule="auto"/>
        <w:rPr>
          <w:sz w:val="20"/>
          <w:szCs w:val="20"/>
          <w:color w:val="auto"/>
        </w:rPr>
      </w:pPr>
      <w:r>
        <w:rPr>
          <w:rFonts w:ascii="Times New Roman" w:cs="Times New Roman" w:eastAsia="Times New Roman" w:hAnsi="Times New Roman"/>
          <w:sz w:val="14"/>
          <w:szCs w:val="14"/>
          <w:color w:val="auto"/>
        </w:rPr>
        <w:t>From and including March 12, 2026 to, but excluding, March 15, 2031 or any earlier redemption date (the “Fixed Rate Period”), the New Notes will bear interest at a fixed rate equal to 7.25% per year, payable semi-annually in arrears on March 15 and September 15 of each year, beginning on September 15, 2026 (each such date, a “Fixed Rate Interest Payment Date”). During this Fixed Rate Period, the amount of interest payable on any Fixed Rate Interest Payment Date will be computed on the basis of a 360-day year consisting of twelve 30-day months.</w:t>
      </w:r>
    </w:p>
    <w:p>
      <w:pPr>
        <w:spacing w:after="0" w:line="140" w:lineRule="exact"/>
        <w:rPr>
          <w:sz w:val="20"/>
          <w:szCs w:val="20"/>
          <w:color w:val="auto"/>
        </w:rPr>
      </w:pPr>
    </w:p>
    <w:p>
      <w:pPr>
        <w:ind w:firstLine="495"/>
        <w:spacing w:after="0" w:line="250" w:lineRule="auto"/>
        <w:rPr>
          <w:sz w:val="20"/>
          <w:szCs w:val="20"/>
          <w:color w:val="auto"/>
        </w:rPr>
      </w:pPr>
      <w:r>
        <w:rPr>
          <w:rFonts w:ascii="Times New Roman" w:cs="Times New Roman" w:eastAsia="Times New Roman" w:hAnsi="Times New Roman"/>
          <w:sz w:val="14"/>
          <w:szCs w:val="14"/>
          <w:color w:val="auto"/>
        </w:rPr>
        <w:t>From and including March 15, 2031 to but excluding the maturity date or earlier redemption date (the “Floating Rate Period”), the New Notes will bear interest at a floating rate, reset quarterly, equal to a Benchmark rate (which is expected to be then-current Three-Month Term SOFR), plus 386 basis points, or such other rate as determined pursuant to the indenture, payable quarterly in arrears on March 15, June 15, September 15 and December 15 of each year commencing on March 15, 2031 (each such date, a “Floating Rate Interest Payment Date” and, together with a Fixed Rate Interest Payment Date, an “Interest Payment Date”). Notwithstanding the foregoing, if Three-Month Term SOFR (or other applicable Benchmark) is less than zero, then Three-Month Term SOFR (or other such Benchmark) shall be deemed to be zero. The Calculation Agent will provide the Company and the trustee with the interest rate in effect on the notes promptly after the Reference Time (or such other date of determination for the applicable Benchmark). During this Floating Rate Period, the amount of interest payable on any Floating Rate Interest Payment Date will be computed on the basis of a 360-day year and on the basis of the actual number of days elapsed.</w:t>
      </w:r>
    </w:p>
    <w:p>
      <w:pPr>
        <w:spacing w:after="0" w:line="14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With regard to Three-Month Term SOFR:</w:t>
      </w:r>
    </w:p>
    <w:p>
      <w:pPr>
        <w:spacing w:after="0" w:line="169" w:lineRule="exact"/>
        <w:rPr>
          <w:sz w:val="20"/>
          <w:szCs w:val="20"/>
          <w:color w:val="auto"/>
        </w:rPr>
      </w:pPr>
    </w:p>
    <w:p>
      <w:pPr>
        <w:ind w:left="1000" w:right="260" w:hanging="503"/>
        <w:spacing w:after="0" w:line="270" w:lineRule="auto"/>
        <w:tabs>
          <w:tab w:leader="none" w:pos="1000" w:val="left"/>
        </w:tabs>
        <w:numPr>
          <w:ilvl w:val="0"/>
          <w:numId w:val="22"/>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“SOFR” means the secured overnight financing rate published by the Federal Reserve Bank of New York, as the administrator of the benchmark (or a successor administrator), on the Federal Reserve Bank of New York’s Website.</w:t>
      </w:r>
    </w:p>
    <w:p>
      <w:pPr>
        <w:spacing w:after="0" w:line="131" w:lineRule="exact"/>
        <w:rPr>
          <w:rFonts w:ascii="Arial" w:cs="Arial" w:eastAsia="Arial" w:hAnsi="Arial"/>
          <w:sz w:val="14"/>
          <w:szCs w:val="14"/>
          <w:b w:val="1"/>
          <w:bCs w:val="1"/>
          <w:color w:val="auto"/>
        </w:rPr>
      </w:pPr>
    </w:p>
    <w:p>
      <w:pPr>
        <w:ind w:left="1000" w:hanging="503"/>
        <w:spacing w:after="0"/>
        <w:tabs>
          <w:tab w:leader="none" w:pos="1000" w:val="left"/>
        </w:tabs>
        <w:numPr>
          <w:ilvl w:val="0"/>
          <w:numId w:val="22"/>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“Term SOFR” means the forward-looking term rate based on SOFR and published by the Term SOFR Administrator.</w:t>
      </w:r>
    </w:p>
    <w:p>
      <w:pPr>
        <w:spacing w:after="0" w:line="168" w:lineRule="exact"/>
        <w:rPr>
          <w:rFonts w:ascii="Arial" w:cs="Arial" w:eastAsia="Arial" w:hAnsi="Arial"/>
          <w:sz w:val="14"/>
          <w:szCs w:val="14"/>
          <w:b w:val="1"/>
          <w:bCs w:val="1"/>
          <w:color w:val="auto"/>
        </w:rPr>
      </w:pPr>
    </w:p>
    <w:p>
      <w:pPr>
        <w:ind w:left="1000" w:right="100" w:hanging="503"/>
        <w:spacing w:after="0" w:line="270" w:lineRule="auto"/>
        <w:tabs>
          <w:tab w:leader="none" w:pos="1000" w:val="left"/>
        </w:tabs>
        <w:numPr>
          <w:ilvl w:val="0"/>
          <w:numId w:val="22"/>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“Term SOFR Administrator” means CME Group Benchmark Administration Limited (CBA) (or a successor administrator of the Term SOFR Reference Rate selected by the Calculation Agent in its reasonable discretion).</w:t>
      </w:r>
    </w:p>
    <w:p>
      <w:pPr>
        <w:spacing w:after="0" w:line="131" w:lineRule="exact"/>
        <w:rPr>
          <w:rFonts w:ascii="Arial" w:cs="Arial" w:eastAsia="Arial" w:hAnsi="Arial"/>
          <w:sz w:val="14"/>
          <w:szCs w:val="14"/>
          <w:b w:val="1"/>
          <w:bCs w:val="1"/>
          <w:color w:val="auto"/>
        </w:rPr>
      </w:pPr>
    </w:p>
    <w:p>
      <w:pPr>
        <w:ind w:left="1000" w:hanging="503"/>
        <w:spacing w:after="0" w:line="258" w:lineRule="auto"/>
        <w:tabs>
          <w:tab w:leader="none" w:pos="1000" w:val="left"/>
        </w:tabs>
        <w:numPr>
          <w:ilvl w:val="0"/>
          <w:numId w:val="22"/>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“Three-Month Term SOFR” means the rate for Term SOFR for a tenor of three months that is published by the Term SOFR Administrator at the Reference Time for any interest period, as determined by the Calculation Agent after giving effect to the Three-Month Term SOFR Conventions. All percentages used in or resulting from any calculation of Three-Month Term SOFR shall be rounded, if necessary, to the nearest one-hundred-thousandth of a percentage point, with 0.000005% rounded up to 0.00001%.</w:t>
      </w:r>
    </w:p>
    <w:p>
      <w:pPr>
        <w:spacing w:after="0" w:line="139" w:lineRule="exact"/>
        <w:rPr>
          <w:rFonts w:ascii="Arial" w:cs="Arial" w:eastAsia="Arial" w:hAnsi="Arial"/>
          <w:sz w:val="14"/>
          <w:szCs w:val="14"/>
          <w:b w:val="1"/>
          <w:bCs w:val="1"/>
          <w:color w:val="auto"/>
        </w:rPr>
      </w:pPr>
    </w:p>
    <w:p>
      <w:pPr>
        <w:ind w:left="1000" w:right="20" w:hanging="503"/>
        <w:spacing w:after="0" w:line="250" w:lineRule="auto"/>
        <w:tabs>
          <w:tab w:leader="none" w:pos="1000" w:val="left"/>
        </w:tabs>
        <w:numPr>
          <w:ilvl w:val="0"/>
          <w:numId w:val="22"/>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“Three-Month Term SOFR Conventions” means any determination, decision or election with respect to any technical, administrative or operational matter (including with respect to the manner and timing of the publication of Three-Month Term SOFR, or changes to the definition of “interest period,” timing and frequency of determining Three-Month Term SOFR with respect to each interest period and making payments of interest, rounding of amounts or tenors, and other administrative matters) that the Calculation Agent decides may be appropriate to reflect the use of Three-Month Term SOFR as the Benchmark in a manner substantially consistent with market practice (or, if the Calculation Agent decides that adoption of any portion of such market practice is not administratively feasible or if the Calculation Agent determines that no market practice for the use of Three-Month Term SOFR exists, in such other manner as the Calculation Agent determines is reasonably necessary).</w:t>
      </w:r>
    </w:p>
    <w:p>
      <w:pPr>
        <w:spacing w:after="0" w:line="14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For purposes of determining a Benchmark Replacement, if necessary, under the terms of the notes:</w:t>
      </w:r>
    </w:p>
    <w:p>
      <w:pPr>
        <w:spacing w:after="0" w:line="169" w:lineRule="exact"/>
        <w:rPr>
          <w:sz w:val="20"/>
          <w:szCs w:val="20"/>
          <w:color w:val="auto"/>
        </w:rPr>
      </w:pPr>
    </w:p>
    <w:p>
      <w:pPr>
        <w:ind w:left="1000" w:right="240" w:hanging="503"/>
        <w:spacing w:after="0" w:line="258" w:lineRule="auto"/>
        <w:tabs>
          <w:tab w:leader="none" w:pos="1000" w:val="left"/>
        </w:tabs>
        <w:numPr>
          <w:ilvl w:val="0"/>
          <w:numId w:val="23"/>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“Benchmark” means, initially, Three-Month Term SOFR; provided that if the Calculation Agent determines on or prior to the Reference Time for any Floating Rate Period that a Benchmark Transition Event and its related Benchmark Replacement Date have occurred with respect to Three-Month Term SOFR or the then-current Benchmark, then “Benchmark” means the applicable Benchmark Replacement for such Floating Rate Period and any subsequent Floating Rate Periods.</w:t>
      </w: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wp:posOffset>
            </wp:positionV>
            <wp:extent cx="7164705" cy="63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0">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60"/>
          </w:cols>
          <w:pgMar w:left="300" w:top="724" w:right="339" w:bottom="1440" w:gutter="0" w:footer="0" w:header="0"/>
        </w:sectPr>
      </w:pPr>
    </w:p>
    <w:bookmarkStart w:id="36" w:name="page37"/>
    <w:bookmarkEnd w:id="36"/>
    <w:p>
      <w:pPr>
        <w:ind w:left="503" w:right="20" w:hanging="503"/>
        <w:spacing w:after="0" w:line="252" w:lineRule="auto"/>
        <w:tabs>
          <w:tab w:leader="none" w:pos="503" w:val="left"/>
        </w:tabs>
        <w:numPr>
          <w:ilvl w:val="0"/>
          <w:numId w:val="24"/>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“Benchmark Replacement” means the Interpolated Benchmark with respect to the then-current Benchmark, plus the Benchmark Replacement Adjustment for such Benchmark; provided that if (a) the Calculation Agent cannot determine the Interpolated Benchmark as of the Benchmark Replacement Date or (b) the then-current Benchmark is Three-Month Term SOFR and a Benchmark Transition Event and its related Benchmark Replacement Date have occurred with respect to Three-Month Term SOFR (in which event no Interpolated Benchmark with respect to Three-Month Term SOFR shall be determined), then “Benchmark Replacement” means the first alternative set forth in the order below that can be determined by the Calculation Agent, as of the Benchmark Replacement Date:</w:t>
      </w:r>
    </w:p>
    <w:p>
      <w:pPr>
        <w:spacing w:after="0" w:line="143" w:lineRule="exact"/>
        <w:rPr>
          <w:rFonts w:ascii="Arial" w:cs="Arial" w:eastAsia="Arial" w:hAnsi="Arial"/>
          <w:sz w:val="14"/>
          <w:szCs w:val="14"/>
          <w:b w:val="1"/>
          <w:bCs w:val="1"/>
          <w:color w:val="auto"/>
        </w:rPr>
      </w:pPr>
    </w:p>
    <w:p>
      <w:pPr>
        <w:ind w:left="983" w:hanging="488"/>
        <w:spacing w:after="0"/>
        <w:tabs>
          <w:tab w:leader="none" w:pos="983" w:val="left"/>
        </w:tabs>
        <w:numPr>
          <w:ilvl w:val="1"/>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sum of: (i) Compounded SOFR and (ii) the Benchmark Replacement Adjustment;</w:t>
      </w:r>
    </w:p>
    <w:p>
      <w:pPr>
        <w:spacing w:after="0" w:line="168" w:lineRule="exact"/>
        <w:rPr>
          <w:rFonts w:ascii="Times New Roman" w:cs="Times New Roman" w:eastAsia="Times New Roman" w:hAnsi="Times New Roman"/>
          <w:sz w:val="14"/>
          <w:szCs w:val="14"/>
          <w:color w:val="auto"/>
        </w:rPr>
      </w:pPr>
    </w:p>
    <w:p>
      <w:pPr>
        <w:ind w:left="983" w:hanging="488"/>
        <w:spacing w:after="0" w:line="271" w:lineRule="auto"/>
        <w:tabs>
          <w:tab w:leader="none" w:pos="983" w:val="left"/>
        </w:tabs>
        <w:numPr>
          <w:ilvl w:val="1"/>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sum of: (i) the alternate rate of interest that has been selected or recommended by the Relevant Governmental Body as the replacement for the then-current Benchmark for the applicable Corresponding Tenor and (ii) the Benchmark Replacement Adjustment;</w:t>
      </w:r>
    </w:p>
    <w:p>
      <w:pPr>
        <w:spacing w:after="0" w:line="131" w:lineRule="exact"/>
        <w:rPr>
          <w:rFonts w:ascii="Times New Roman" w:cs="Times New Roman" w:eastAsia="Times New Roman" w:hAnsi="Times New Roman"/>
          <w:sz w:val="14"/>
          <w:szCs w:val="14"/>
          <w:color w:val="auto"/>
        </w:rPr>
      </w:pPr>
    </w:p>
    <w:p>
      <w:pPr>
        <w:ind w:left="983" w:hanging="488"/>
        <w:spacing w:after="0"/>
        <w:tabs>
          <w:tab w:leader="none" w:pos="983" w:val="left"/>
        </w:tabs>
        <w:numPr>
          <w:ilvl w:val="1"/>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sum of: (i) the ISDA Fallback Rate and (ii) the Benchmark Replacement Adjustment; or</w:t>
      </w:r>
    </w:p>
    <w:p>
      <w:pPr>
        <w:spacing w:after="0" w:line="168" w:lineRule="exact"/>
        <w:rPr>
          <w:rFonts w:ascii="Times New Roman" w:cs="Times New Roman" w:eastAsia="Times New Roman" w:hAnsi="Times New Roman"/>
          <w:sz w:val="14"/>
          <w:szCs w:val="14"/>
          <w:color w:val="auto"/>
        </w:rPr>
      </w:pPr>
    </w:p>
    <w:p>
      <w:pPr>
        <w:ind w:left="983" w:right="240" w:hanging="488"/>
        <w:spacing w:after="0" w:line="258" w:lineRule="auto"/>
        <w:tabs>
          <w:tab w:leader="none" w:pos="983" w:val="left"/>
        </w:tabs>
        <w:numPr>
          <w:ilvl w:val="1"/>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sum of: (i) the alternate rate that has been selected by the Calculation Agent as the replacement for the then-current Benchmark for the applicable Corresponding Tenor, giving due consideration to any industry-accepted rate as a replacement for the then-current Benchmark for U.S. Dollar-denominated floating rate securities at such time, and (ii) the Benchmark Replacement Adjustment.</w:t>
      </w:r>
    </w:p>
    <w:p>
      <w:pPr>
        <w:spacing w:after="0" w:line="140" w:lineRule="exact"/>
        <w:rPr>
          <w:sz w:val="20"/>
          <w:szCs w:val="20"/>
          <w:color w:val="auto"/>
        </w:rPr>
      </w:pPr>
    </w:p>
    <w:p>
      <w:pPr>
        <w:ind w:left="503"/>
        <w:spacing w:after="0"/>
        <w:rPr>
          <w:sz w:val="20"/>
          <w:szCs w:val="20"/>
          <w:color w:val="auto"/>
        </w:rPr>
      </w:pPr>
      <w:r>
        <w:rPr>
          <w:rFonts w:ascii="Times New Roman" w:cs="Times New Roman" w:eastAsia="Times New Roman" w:hAnsi="Times New Roman"/>
          <w:sz w:val="14"/>
          <w:szCs w:val="14"/>
          <w:color w:val="auto"/>
        </w:rPr>
        <w:t>If the Benchmark Replacement, as determined pursuant to clause (a), (b), (c) or (d) above would be less than zero, the Benchmark Replacement will be deemed to be zero.</w:t>
      </w:r>
    </w:p>
    <w:p>
      <w:pPr>
        <w:spacing w:after="0" w:line="169" w:lineRule="exact"/>
        <w:rPr>
          <w:sz w:val="20"/>
          <w:szCs w:val="20"/>
          <w:color w:val="auto"/>
        </w:rPr>
      </w:pPr>
    </w:p>
    <w:p>
      <w:pPr>
        <w:ind w:left="503" w:hanging="503"/>
        <w:spacing w:after="0"/>
        <w:tabs>
          <w:tab w:leader="none" w:pos="503" w:val="left"/>
        </w:tabs>
        <w:numPr>
          <w:ilvl w:val="0"/>
          <w:numId w:val="25"/>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“Benchmark Replacement Adjustment” means the first alternative set forth in the order below that can be determined by the Calculation Agent, as of the Benchmark Replacement Date:</w:t>
      </w:r>
    </w:p>
    <w:p>
      <w:pPr>
        <w:spacing w:after="0" w:line="179" w:lineRule="exact"/>
        <w:rPr>
          <w:rFonts w:ascii="Arial" w:cs="Arial" w:eastAsia="Arial" w:hAnsi="Arial"/>
          <w:sz w:val="13"/>
          <w:szCs w:val="13"/>
          <w:b w:val="1"/>
          <w:bCs w:val="1"/>
          <w:color w:val="auto"/>
        </w:rPr>
      </w:pPr>
    </w:p>
    <w:p>
      <w:pPr>
        <w:ind w:left="983" w:right="640" w:hanging="488"/>
        <w:spacing w:after="0" w:line="271" w:lineRule="auto"/>
        <w:tabs>
          <w:tab w:leader="none" w:pos="983" w:val="left"/>
        </w:tabs>
        <w:numPr>
          <w:ilvl w:val="1"/>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spread adjustment, or method for calculating or determining such spread adjustment, (which may be a positive or negative value or zero), that has been selected or recommended by the Relevant Governmental Body for the applicable Unadjusted Benchmark Replacement, if any;</w:t>
      </w:r>
    </w:p>
    <w:p>
      <w:pPr>
        <w:spacing w:after="0" w:line="131" w:lineRule="exact"/>
        <w:rPr>
          <w:rFonts w:ascii="Times New Roman" w:cs="Times New Roman" w:eastAsia="Times New Roman" w:hAnsi="Times New Roman"/>
          <w:sz w:val="14"/>
          <w:szCs w:val="14"/>
          <w:color w:val="auto"/>
        </w:rPr>
      </w:pPr>
    </w:p>
    <w:p>
      <w:pPr>
        <w:ind w:left="983" w:hanging="488"/>
        <w:spacing w:after="0"/>
        <w:tabs>
          <w:tab w:leader="none" w:pos="983" w:val="left"/>
        </w:tabs>
        <w:numPr>
          <w:ilvl w:val="1"/>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applicable Unadjusted Benchmark Replacement is equivalent to the ISDA Fallback Rate, then the ISDA Fallback Adjustment; or</w:t>
      </w:r>
    </w:p>
    <w:p>
      <w:pPr>
        <w:spacing w:after="0" w:line="168" w:lineRule="exact"/>
        <w:rPr>
          <w:rFonts w:ascii="Times New Roman" w:cs="Times New Roman" w:eastAsia="Times New Roman" w:hAnsi="Times New Roman"/>
          <w:sz w:val="14"/>
          <w:szCs w:val="14"/>
          <w:color w:val="auto"/>
        </w:rPr>
      </w:pPr>
    </w:p>
    <w:p>
      <w:pPr>
        <w:ind w:left="983" w:right="300" w:hanging="488"/>
        <w:spacing w:after="0" w:line="258" w:lineRule="auto"/>
        <w:tabs>
          <w:tab w:leader="none" w:pos="983" w:val="left"/>
        </w:tabs>
        <w:numPr>
          <w:ilvl w:val="1"/>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spread adjustment (which may be a positive or negative value or zero) that has been selected by the Calculation Agent giving due consideration to any industry-accepted spread adjustment, or method for calculating or determining such spread adjustment, for the replacement of the then-current Benchmark with the applicable Unadjusted Benchmark Replacement for U.S. Dollar-denominated floating rate securities at such time.</w:t>
      </w:r>
    </w:p>
    <w:p>
      <w:pPr>
        <w:spacing w:after="0" w:line="140" w:lineRule="exact"/>
        <w:rPr>
          <w:rFonts w:ascii="Times New Roman" w:cs="Times New Roman" w:eastAsia="Times New Roman" w:hAnsi="Times New Roman"/>
          <w:sz w:val="14"/>
          <w:szCs w:val="14"/>
          <w:color w:val="auto"/>
        </w:rPr>
      </w:pPr>
    </w:p>
    <w:p>
      <w:pPr>
        <w:ind w:left="503" w:right="200" w:hanging="503"/>
        <w:spacing w:after="0" w:line="252" w:lineRule="auto"/>
        <w:tabs>
          <w:tab w:leader="none" w:pos="503" w:val="left"/>
        </w:tabs>
        <w:numPr>
          <w:ilvl w:val="0"/>
          <w:numId w:val="25"/>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“Benchmark Replacement Conforming Changes” means, with respect to any Benchmark Replacement, any technical, administrative or operational changes (including changes to the definition of “interest period,” timing and frequency of determining rates with respect to each interest period and making payments of interest, rounding of amounts or tenors and other administrative matters) that the Calculation Agent decides may be appropriate to reflect the adoption of such Benchmark Replacement in a manner substantially consistent with market practice (or, if the Calculation Agent decides that adoption of any portion of such market practice is not administratively feasible or if the Calculation Agent determines that no market practice for use of the Benchmark Replacement exists, in such other manner as the Calculation Agent determines is reasonably necessary).</w:t>
      </w:r>
    </w:p>
    <w:p>
      <w:pPr>
        <w:spacing w:after="0" w:line="308" w:lineRule="exact"/>
        <w:rPr>
          <w:sz w:val="20"/>
          <w:szCs w:val="20"/>
          <w:color w:val="auto"/>
        </w:rPr>
      </w:pPr>
    </w:p>
    <w:p>
      <w:pPr>
        <w:jc w:val="center"/>
        <w:ind w:right="457"/>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10795</wp:posOffset>
            </wp:positionV>
            <wp:extent cx="7164705" cy="63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1">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0763"/>
          </w:cols>
          <w:pgMar w:left="797" w:top="724" w:right="339" w:bottom="1440" w:gutter="0" w:footer="0" w:header="0"/>
        </w:sectPr>
      </w:pPr>
    </w:p>
    <w:bookmarkStart w:id="37" w:name="page38"/>
    <w:bookmarkEnd w:id="37"/>
    <w:p>
      <w:pPr>
        <w:ind w:left="1000" w:hanging="503"/>
        <w:spacing w:after="0"/>
        <w:tabs>
          <w:tab w:leader="none" w:pos="1000" w:val="left"/>
        </w:tabs>
        <w:numPr>
          <w:ilvl w:val="0"/>
          <w:numId w:val="26"/>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“Benchmark Replacement Date” means the earliest to occur of the following events with respect to the then-current Benchmark:</w:t>
      </w:r>
    </w:p>
    <w:p>
      <w:pPr>
        <w:spacing w:after="0" w:line="168" w:lineRule="exact"/>
        <w:rPr>
          <w:rFonts w:ascii="Arial" w:cs="Arial" w:eastAsia="Arial" w:hAnsi="Arial"/>
          <w:sz w:val="14"/>
          <w:szCs w:val="14"/>
          <w:b w:val="1"/>
          <w:bCs w:val="1"/>
          <w:color w:val="auto"/>
        </w:rPr>
      </w:pPr>
    </w:p>
    <w:p>
      <w:pPr>
        <w:ind w:left="1480" w:hanging="488"/>
        <w:spacing w:after="0"/>
        <w:tabs>
          <w:tab w:leader="none" w:pos="1480" w:val="left"/>
        </w:tabs>
        <w:numPr>
          <w:ilvl w:val="1"/>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clause (a) of the definition of “Benchmark Transition Event,” the relevant Reference Time in respect of any determination;</w:t>
      </w:r>
    </w:p>
    <w:p>
      <w:pPr>
        <w:spacing w:after="0" w:line="168" w:lineRule="exact"/>
        <w:rPr>
          <w:rFonts w:ascii="Times New Roman" w:cs="Times New Roman" w:eastAsia="Times New Roman" w:hAnsi="Times New Roman"/>
          <w:sz w:val="14"/>
          <w:szCs w:val="14"/>
          <w:color w:val="auto"/>
        </w:rPr>
      </w:pPr>
    </w:p>
    <w:p>
      <w:pPr>
        <w:ind w:left="1480" w:right="60" w:hanging="488"/>
        <w:spacing w:after="0" w:line="271" w:lineRule="auto"/>
        <w:tabs>
          <w:tab w:leader="none" w:pos="1480" w:val="left"/>
        </w:tabs>
        <w:numPr>
          <w:ilvl w:val="1"/>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clause (b) or (c) of the definition of “Benchmark Transition Event,” the later of (i) the date of the public statement or publication of information referenced therein and (ii) the date on which the administrator of the Benchmark permanently or indefinitely ceases to provide the Benchmark; or</w:t>
      </w:r>
    </w:p>
    <w:p>
      <w:pPr>
        <w:spacing w:after="0" w:line="131" w:lineRule="exact"/>
        <w:rPr>
          <w:rFonts w:ascii="Times New Roman" w:cs="Times New Roman" w:eastAsia="Times New Roman" w:hAnsi="Times New Roman"/>
          <w:sz w:val="14"/>
          <w:szCs w:val="14"/>
          <w:color w:val="auto"/>
        </w:rPr>
      </w:pPr>
    </w:p>
    <w:p>
      <w:pPr>
        <w:ind w:left="1480" w:hanging="488"/>
        <w:spacing w:after="0"/>
        <w:tabs>
          <w:tab w:leader="none" w:pos="1480" w:val="left"/>
        </w:tabs>
        <w:numPr>
          <w:ilvl w:val="1"/>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clause (d) of the definition of “Benchmark Transition Event,” the date of the public statement or publication of information referenced therein.</w:t>
      </w:r>
    </w:p>
    <w:p>
      <w:pPr>
        <w:spacing w:after="0" w:line="169" w:lineRule="exact"/>
        <w:rPr>
          <w:sz w:val="20"/>
          <w:szCs w:val="20"/>
          <w:color w:val="auto"/>
        </w:rPr>
      </w:pPr>
    </w:p>
    <w:p>
      <w:pPr>
        <w:ind w:right="480" w:firstLine="495"/>
        <w:spacing w:after="0" w:line="271" w:lineRule="auto"/>
        <w:rPr>
          <w:sz w:val="20"/>
          <w:szCs w:val="20"/>
          <w:color w:val="auto"/>
        </w:rPr>
      </w:pPr>
      <w:r>
        <w:rPr>
          <w:rFonts w:ascii="Times New Roman" w:cs="Times New Roman" w:eastAsia="Times New Roman" w:hAnsi="Times New Roman"/>
          <w:sz w:val="14"/>
          <w:szCs w:val="14"/>
          <w:color w:val="auto"/>
        </w:rPr>
        <w:t>For the avoidance of doubt, for purposes of the definitions of Benchmark Replacement Date and Benchmark Transition Event, references to the Benchmark also include any reference rate underlying the Benchmark (for example, if the Benchmark becomes Compounded SOFR, references to the Benchmark would include SOFR).</w:t>
      </w:r>
    </w:p>
    <w:p>
      <w:pPr>
        <w:spacing w:after="0" w:line="131" w:lineRule="exact"/>
        <w:rPr>
          <w:sz w:val="20"/>
          <w:szCs w:val="20"/>
          <w:color w:val="auto"/>
        </w:rPr>
      </w:pPr>
    </w:p>
    <w:p>
      <w:pPr>
        <w:ind w:right="420" w:firstLine="495"/>
        <w:spacing w:after="0" w:line="271" w:lineRule="auto"/>
        <w:rPr>
          <w:sz w:val="20"/>
          <w:szCs w:val="20"/>
          <w:color w:val="auto"/>
        </w:rPr>
      </w:pPr>
      <w:r>
        <w:rPr>
          <w:rFonts w:ascii="Times New Roman" w:cs="Times New Roman" w:eastAsia="Times New Roman" w:hAnsi="Times New Roman"/>
          <w:sz w:val="14"/>
          <w:szCs w:val="14"/>
          <w:color w:val="auto"/>
        </w:rPr>
        <w:t>For the avoidance of doubt, if the event giving rise to the Benchmark Replacement Date occurs on the same day as, but earlier than, the Reference Time in respect of any determination, the Benchmark Replacement Date will be deemed to have occurred prior to the Reference Time for such determination.</w:t>
      </w:r>
    </w:p>
    <w:p>
      <w:pPr>
        <w:spacing w:after="0" w:line="131" w:lineRule="exact"/>
        <w:rPr>
          <w:sz w:val="20"/>
          <w:szCs w:val="20"/>
          <w:color w:val="auto"/>
        </w:rPr>
      </w:pPr>
    </w:p>
    <w:p>
      <w:pPr>
        <w:ind w:left="1000" w:hanging="503"/>
        <w:spacing w:after="0"/>
        <w:tabs>
          <w:tab w:leader="none" w:pos="1000" w:val="left"/>
        </w:tabs>
        <w:numPr>
          <w:ilvl w:val="0"/>
          <w:numId w:val="27"/>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“Benchmark Transition Event” means the occurrence of one or more of the following events with respect to the then-current Benchmark:</w:t>
      </w:r>
    </w:p>
    <w:p>
      <w:pPr>
        <w:spacing w:after="0" w:line="168" w:lineRule="exact"/>
        <w:rPr>
          <w:rFonts w:ascii="Arial" w:cs="Arial" w:eastAsia="Arial" w:hAnsi="Arial"/>
          <w:sz w:val="14"/>
          <w:szCs w:val="14"/>
          <w:b w:val="1"/>
          <w:bCs w:val="1"/>
          <w:color w:val="auto"/>
        </w:rPr>
      </w:pPr>
    </w:p>
    <w:p>
      <w:pPr>
        <w:ind w:left="1480" w:right="480" w:hanging="488"/>
        <w:spacing w:after="0" w:line="271" w:lineRule="auto"/>
        <w:tabs>
          <w:tab w:leader="none" w:pos="1480" w:val="left"/>
        </w:tabs>
        <w:numPr>
          <w:ilvl w:val="1"/>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Benchmark is Three-Month Term SOFR, the Calculation Agent determines that the use of a forward-looking rate for a tenor of three months based on SOFR is not administratively feasible;</w:t>
      </w:r>
    </w:p>
    <w:p>
      <w:pPr>
        <w:spacing w:after="0" w:line="131" w:lineRule="exact"/>
        <w:rPr>
          <w:rFonts w:ascii="Times New Roman" w:cs="Times New Roman" w:eastAsia="Times New Roman" w:hAnsi="Times New Roman"/>
          <w:sz w:val="14"/>
          <w:szCs w:val="14"/>
          <w:color w:val="auto"/>
        </w:rPr>
      </w:pPr>
    </w:p>
    <w:p>
      <w:pPr>
        <w:ind w:left="1480" w:hanging="488"/>
        <w:spacing w:after="0" w:line="258" w:lineRule="auto"/>
        <w:tabs>
          <w:tab w:leader="none" w:pos="1480" w:val="left"/>
        </w:tabs>
        <w:numPr>
          <w:ilvl w:val="1"/>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public statement or publication of information by or on behalf of the administrator of the Benchmark announcing that such administrator has ceased or will cease to provide the Benchmark, permanently or indefinitely, provided that, at the time of such statement or publication, there is no successor administrator that will continue to provide the Benchmark;</w:t>
      </w:r>
    </w:p>
    <w:p>
      <w:pPr>
        <w:spacing w:after="0" w:line="140" w:lineRule="exact"/>
        <w:rPr>
          <w:rFonts w:ascii="Times New Roman" w:cs="Times New Roman" w:eastAsia="Times New Roman" w:hAnsi="Times New Roman"/>
          <w:sz w:val="14"/>
          <w:szCs w:val="14"/>
          <w:color w:val="auto"/>
        </w:rPr>
      </w:pPr>
    </w:p>
    <w:p>
      <w:pPr>
        <w:ind w:left="1480" w:right="80" w:hanging="488"/>
        <w:spacing w:after="0" w:line="252" w:lineRule="auto"/>
        <w:tabs>
          <w:tab w:leader="none" w:pos="1480" w:val="left"/>
        </w:tabs>
        <w:numPr>
          <w:ilvl w:val="1"/>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public statement or publication of information by the regulatory supervisor for the administrator of the Benchmark, the central bank for the currency of the Benchmark, an insolvency official with jurisdiction over the administrator for the Benchmark, a resolution authority with jurisdiction over the administrator for the Benchmark or a court or an entity with similar insolvency or resolution authority over the administrator for the Benchmark, which states that the administrator of the Benchmark has ceased or will cease to provide the Benchmark permanently or indefinitely, provided that, at the time of such statement or publication, there is no successor administrator that will continue to provide the Benchmark; or</w:t>
      </w:r>
    </w:p>
    <w:p>
      <w:pPr>
        <w:spacing w:after="0" w:line="144" w:lineRule="exact"/>
        <w:rPr>
          <w:rFonts w:ascii="Times New Roman" w:cs="Times New Roman" w:eastAsia="Times New Roman" w:hAnsi="Times New Roman"/>
          <w:sz w:val="14"/>
          <w:szCs w:val="14"/>
          <w:color w:val="auto"/>
        </w:rPr>
      </w:pPr>
    </w:p>
    <w:p>
      <w:pPr>
        <w:ind w:left="1480" w:hanging="488"/>
        <w:spacing w:after="0"/>
        <w:tabs>
          <w:tab w:leader="none" w:pos="1480" w:val="left"/>
        </w:tabs>
        <w:numPr>
          <w:ilvl w:val="1"/>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public statement or publication of information by the regulatory supervisor for the administrator of the Benchmark announcing that the Benchmark is no longer representative.</w:t>
      </w:r>
    </w:p>
    <w:p>
      <w:pPr>
        <w:spacing w:after="0" w:line="180" w:lineRule="exact"/>
        <w:rPr>
          <w:rFonts w:ascii="Times New Roman" w:cs="Times New Roman" w:eastAsia="Times New Roman" w:hAnsi="Times New Roman"/>
          <w:sz w:val="13"/>
          <w:szCs w:val="13"/>
          <w:color w:val="auto"/>
        </w:rPr>
      </w:pPr>
    </w:p>
    <w:p>
      <w:pPr>
        <w:ind w:left="1000" w:right="100" w:hanging="503"/>
        <w:spacing w:after="0" w:line="270" w:lineRule="auto"/>
        <w:tabs>
          <w:tab w:leader="none" w:pos="1000" w:val="left"/>
        </w:tabs>
        <w:numPr>
          <w:ilvl w:val="0"/>
          <w:numId w:val="27"/>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“Calculation Agent” means the agent appointed by the Company prior to the commencement of the Floating Rate Period (which may include the Company or any of its Affiliates) to act in accordance with Section 2.13. The initial Calculation Agent shall be the Company.</w:t>
      </w:r>
    </w:p>
    <w:p>
      <w:pPr>
        <w:spacing w:after="0" w:line="2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wp:posOffset>
            </wp:positionV>
            <wp:extent cx="7164705" cy="63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2">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40"/>
          </w:cols>
          <w:pgMar w:left="300" w:top="724" w:right="359" w:bottom="1440" w:gutter="0" w:footer="0" w:header="0"/>
        </w:sectPr>
      </w:pPr>
    </w:p>
    <w:bookmarkStart w:id="38" w:name="page39"/>
    <w:bookmarkEnd w:id="38"/>
    <w:p>
      <w:pPr>
        <w:jc w:val="both"/>
        <w:ind w:left="1000" w:right="140" w:hanging="503"/>
        <w:spacing w:after="0" w:line="258" w:lineRule="auto"/>
        <w:tabs>
          <w:tab w:leader="none" w:pos="1000" w:val="left"/>
        </w:tabs>
        <w:numPr>
          <w:ilvl w:val="0"/>
          <w:numId w:val="28"/>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“Compounded SOFR” means the compounded average of SOFRs for the applicable Corresponding Tenor, with the rate, or methodology for this rate, and conventions for this rate being established by the Calculation Agent in accordance with the rate, or methodology for this rate, and conventions for this rate that have been selected by the Calculation Agent giving due consideration to any industry-accepted market practice for U.S. Dollar-denominated floating rate securities at such time.</w:t>
      </w:r>
    </w:p>
    <w:p>
      <w:pPr>
        <w:spacing w:after="0" w:line="14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For the avoidance of doubt, the calculation of Compounded SOFR shall exclude the Benchmark Replacement Adjustment (if applicable) and the spread specified in the indenture.</w:t>
      </w:r>
    </w:p>
    <w:p>
      <w:pPr>
        <w:spacing w:after="0" w:line="169" w:lineRule="exact"/>
        <w:rPr>
          <w:sz w:val="20"/>
          <w:szCs w:val="20"/>
          <w:color w:val="auto"/>
        </w:rPr>
      </w:pPr>
    </w:p>
    <w:p>
      <w:pPr>
        <w:ind w:left="1000" w:right="480" w:hanging="503"/>
        <w:spacing w:after="0" w:line="270" w:lineRule="auto"/>
        <w:tabs>
          <w:tab w:leader="none" w:pos="1000" w:val="left"/>
        </w:tabs>
        <w:numPr>
          <w:ilvl w:val="0"/>
          <w:numId w:val="29"/>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“Corresponding Tenor” means (i) with respect to Three-Month Term SOFR, three months, and (ii) with respect to a Benchmark Replacement, a tenor (including overnight) having approximately the same length (disregarding business day adjustment) as the applicable tenor for the then-current Benchmark.</w:t>
      </w:r>
    </w:p>
    <w:p>
      <w:pPr>
        <w:spacing w:after="0" w:line="131" w:lineRule="exact"/>
        <w:rPr>
          <w:rFonts w:ascii="Arial" w:cs="Arial" w:eastAsia="Arial" w:hAnsi="Arial"/>
          <w:sz w:val="14"/>
          <w:szCs w:val="14"/>
          <w:b w:val="1"/>
          <w:bCs w:val="1"/>
          <w:color w:val="auto"/>
        </w:rPr>
      </w:pPr>
    </w:p>
    <w:p>
      <w:pPr>
        <w:ind w:left="1000" w:right="140" w:hanging="503"/>
        <w:spacing w:after="0" w:line="258" w:lineRule="auto"/>
        <w:tabs>
          <w:tab w:leader="none" w:pos="1000" w:val="left"/>
        </w:tabs>
        <w:numPr>
          <w:ilvl w:val="0"/>
          <w:numId w:val="29"/>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“Interpolated Benchmark” with respect to the Benchmark means the rate determined for the Corresponding Tenor by interpolating on a linear basis between: (1) the Benchmark for the longest period (for which the Benchmark is available) that is shorter than the Corresponding Tenor and (2) the Benchmark for the shortest period (for which the Benchmark is available) that is longer than the Corresponding Tenor.</w:t>
      </w:r>
    </w:p>
    <w:p>
      <w:pPr>
        <w:spacing w:after="0" w:line="139" w:lineRule="exact"/>
        <w:rPr>
          <w:rFonts w:ascii="Arial" w:cs="Arial" w:eastAsia="Arial" w:hAnsi="Arial"/>
          <w:sz w:val="14"/>
          <w:szCs w:val="14"/>
          <w:b w:val="1"/>
          <w:bCs w:val="1"/>
          <w:color w:val="auto"/>
        </w:rPr>
      </w:pPr>
    </w:p>
    <w:p>
      <w:pPr>
        <w:ind w:left="1000" w:right="420" w:hanging="503"/>
        <w:spacing w:after="0" w:line="270" w:lineRule="auto"/>
        <w:tabs>
          <w:tab w:leader="none" w:pos="1000" w:val="left"/>
        </w:tabs>
        <w:numPr>
          <w:ilvl w:val="0"/>
          <w:numId w:val="29"/>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“ISDA Definitions” means the 2021 ISDA Interest Rate Derivatives Definitions published by the International Swaps and Derivatives Association, Inc. or any successor thereto, as amended or supplemented from time to time, or any successor definitional booklet for interest rate derivatives published from time to time.</w:t>
      </w:r>
    </w:p>
    <w:p>
      <w:pPr>
        <w:spacing w:after="0" w:line="131" w:lineRule="exact"/>
        <w:rPr>
          <w:rFonts w:ascii="Arial" w:cs="Arial" w:eastAsia="Arial" w:hAnsi="Arial"/>
          <w:sz w:val="14"/>
          <w:szCs w:val="14"/>
          <w:b w:val="1"/>
          <w:bCs w:val="1"/>
          <w:color w:val="auto"/>
        </w:rPr>
      </w:pPr>
    </w:p>
    <w:p>
      <w:pPr>
        <w:ind w:left="1000" w:right="500" w:hanging="503"/>
        <w:spacing w:after="0" w:line="270" w:lineRule="auto"/>
        <w:tabs>
          <w:tab w:leader="none" w:pos="1000" w:val="left"/>
        </w:tabs>
        <w:numPr>
          <w:ilvl w:val="0"/>
          <w:numId w:val="29"/>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“ISDA Fallback Adjustment” means the spread adjustment (which may be a positive or negative value or zero) that would apply for derivatives transactions referencing the ISDA Definitions to be determined upon the occurrence of an index cessation event with respect to the Benchmark for the applicable tenor.</w:t>
      </w:r>
    </w:p>
    <w:p>
      <w:pPr>
        <w:spacing w:after="0" w:line="131" w:lineRule="exact"/>
        <w:rPr>
          <w:rFonts w:ascii="Arial" w:cs="Arial" w:eastAsia="Arial" w:hAnsi="Arial"/>
          <w:sz w:val="14"/>
          <w:szCs w:val="14"/>
          <w:b w:val="1"/>
          <w:bCs w:val="1"/>
          <w:color w:val="auto"/>
        </w:rPr>
      </w:pPr>
    </w:p>
    <w:p>
      <w:pPr>
        <w:ind w:left="1000" w:right="180" w:hanging="503"/>
        <w:spacing w:after="0" w:line="270" w:lineRule="auto"/>
        <w:tabs>
          <w:tab w:leader="none" w:pos="1000" w:val="left"/>
        </w:tabs>
        <w:numPr>
          <w:ilvl w:val="0"/>
          <w:numId w:val="29"/>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“ISDA Fallback Rate” means the rate that would apply for derivatives transactions referencing the ISDA Definitions to be effective upon the occurrence of an index cessation date with respect to the Benchmark for the applicable tenor excluding the applicable ISDA Fallback Adjustment.</w:t>
      </w:r>
    </w:p>
    <w:p>
      <w:pPr>
        <w:spacing w:after="0" w:line="131" w:lineRule="exact"/>
        <w:rPr>
          <w:rFonts w:ascii="Arial" w:cs="Arial" w:eastAsia="Arial" w:hAnsi="Arial"/>
          <w:sz w:val="14"/>
          <w:szCs w:val="14"/>
          <w:b w:val="1"/>
          <w:bCs w:val="1"/>
          <w:color w:val="auto"/>
        </w:rPr>
      </w:pPr>
    </w:p>
    <w:p>
      <w:pPr>
        <w:ind w:left="1000" w:right="100" w:hanging="503"/>
        <w:spacing w:after="0" w:line="258" w:lineRule="auto"/>
        <w:tabs>
          <w:tab w:leader="none" w:pos="1000" w:val="left"/>
        </w:tabs>
        <w:numPr>
          <w:ilvl w:val="0"/>
          <w:numId w:val="29"/>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“Reference Time” with respect to any determination of a Benchmark means (1) if the Benchmark is Three-Month Term SOFR, the time determined by the Calculation Agent after giving effect to the Three-Month Term SOFR Conventions, and (2) if the Benchmark is not Three-Month Term SOFR, the time determined by the Calculation Agent after giving effect to the Benchmark Replacement Conforming Changes.</w:t>
      </w:r>
    </w:p>
    <w:p>
      <w:pPr>
        <w:spacing w:after="0" w:line="139" w:lineRule="exact"/>
        <w:rPr>
          <w:rFonts w:ascii="Arial" w:cs="Arial" w:eastAsia="Arial" w:hAnsi="Arial"/>
          <w:sz w:val="14"/>
          <w:szCs w:val="14"/>
          <w:b w:val="1"/>
          <w:bCs w:val="1"/>
          <w:color w:val="auto"/>
        </w:rPr>
      </w:pPr>
    </w:p>
    <w:p>
      <w:pPr>
        <w:ind w:left="1000" w:right="520" w:hanging="503"/>
        <w:spacing w:after="0" w:line="270" w:lineRule="auto"/>
        <w:tabs>
          <w:tab w:leader="none" w:pos="1000" w:val="left"/>
        </w:tabs>
        <w:numPr>
          <w:ilvl w:val="0"/>
          <w:numId w:val="29"/>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“Relevant Governmental Body” means the Federal Reserve and/or the FRBNY, or a committee officially endorsed or convened by the Federal Reserve and/or the FRBNY or any successor thereto.</w:t>
      </w:r>
    </w:p>
    <w:p>
      <w:pPr>
        <w:spacing w:after="0" w:line="131" w:lineRule="exact"/>
        <w:rPr>
          <w:rFonts w:ascii="Arial" w:cs="Arial" w:eastAsia="Arial" w:hAnsi="Arial"/>
          <w:sz w:val="14"/>
          <w:szCs w:val="14"/>
          <w:b w:val="1"/>
          <w:bCs w:val="1"/>
          <w:color w:val="auto"/>
        </w:rPr>
      </w:pPr>
    </w:p>
    <w:p>
      <w:pPr>
        <w:ind w:left="1000" w:hanging="503"/>
        <w:spacing w:after="0"/>
        <w:tabs>
          <w:tab w:leader="none" w:pos="1000" w:val="left"/>
        </w:tabs>
        <w:numPr>
          <w:ilvl w:val="0"/>
          <w:numId w:val="29"/>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“Unadjusted Benchmark Replacement” means the Benchmark Replacement excluding any Benchmark Replacement Adjustment.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Interest Payments</w:t>
      </w:r>
    </w:p>
    <w:p>
      <w:pPr>
        <w:spacing w:after="0" w:line="173" w:lineRule="exact"/>
        <w:rPr>
          <w:sz w:val="20"/>
          <w:szCs w:val="20"/>
          <w:color w:val="auto"/>
        </w:rPr>
      </w:pPr>
    </w:p>
    <w:p>
      <w:pPr>
        <w:ind w:firstLine="495"/>
        <w:spacing w:after="0" w:line="252" w:lineRule="auto"/>
        <w:rPr>
          <w:sz w:val="20"/>
          <w:szCs w:val="20"/>
          <w:color w:val="auto"/>
        </w:rPr>
      </w:pPr>
      <w:r>
        <w:rPr>
          <w:rFonts w:ascii="Times New Roman" w:cs="Times New Roman" w:eastAsia="Times New Roman" w:hAnsi="Times New Roman"/>
          <w:sz w:val="14"/>
          <w:szCs w:val="14"/>
          <w:color w:val="auto"/>
        </w:rPr>
        <w:t>We will make each interest payment during the Fixed Rate Period and the Floating Rate Period to the holders of record of the notes at the close of business on the fifteenth calendar day (whether or not a business day) immediately preceding the applicable Fixed Rate Interest Payment Date and Floating Rate Interest Payment Date. Principal of and interest on the notes will be payable, and the notes will be exchangeable and transferable, at the office or agency that we have designated and maintain for such purposes, which, initially, will be the corporate trust office of the trustee located at UMB Bank, N.A., 5555 San Felipe, Suite 870, Houston, Texas 77056, Attention: James Henry; except that payment of interest may be made at our option by check mailed or to the person entitled thereto as shown on the security register or by transfer to an account maintained with a bank located in the United States and appropriately designated by the person entitled thereto.</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wp:posOffset>
            </wp:positionV>
            <wp:extent cx="7164705" cy="63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3">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724"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color w:val="auto"/>
        </w:rPr>
        <w:t>Subordination</w:t>
      </w:r>
    </w:p>
    <w:p>
      <w:pPr>
        <w:spacing w:after="0" w:line="173" w:lineRule="exact"/>
        <w:rPr>
          <w:sz w:val="20"/>
          <w:szCs w:val="20"/>
          <w:color w:val="auto"/>
        </w:rPr>
      </w:pPr>
    </w:p>
    <w:p>
      <w:pPr>
        <w:ind w:right="100" w:firstLine="495"/>
        <w:spacing w:after="0" w:line="254" w:lineRule="auto"/>
        <w:rPr>
          <w:sz w:val="20"/>
          <w:szCs w:val="20"/>
          <w:color w:val="auto"/>
        </w:rPr>
      </w:pPr>
      <w:r>
        <w:rPr>
          <w:rFonts w:ascii="Times New Roman" w:cs="Times New Roman" w:eastAsia="Times New Roman" w:hAnsi="Times New Roman"/>
          <w:sz w:val="14"/>
          <w:szCs w:val="14"/>
          <w:color w:val="auto"/>
        </w:rPr>
        <w:t>Our obligation to make any payment on account of the principal of, or interest on, the notes will be subordinate and junior in right of payment to the prior payment in full of all of our senior indebtedness. As of March 31, 2026, the Company and its subsidiaries had total outstanding liabilities, excluding intercompany liabilities, of $2.2 billion. This amount included $2.0 billion in aggregate principal amount of deposit liabilities of the Bank, all of which rank structurally senior to the notes. The notes and the indenture do not contain any limitation on the amount of senior indebtedness that we may incur in the future.</w:t>
      </w:r>
    </w:p>
    <w:p>
      <w:pPr>
        <w:spacing w:after="0" w:line="143" w:lineRule="exact"/>
        <w:rPr>
          <w:sz w:val="20"/>
          <w:szCs w:val="20"/>
          <w:color w:val="auto"/>
        </w:rPr>
      </w:pPr>
    </w:p>
    <w:p>
      <w:pPr>
        <w:ind w:right="420" w:firstLine="495"/>
        <w:spacing w:after="0" w:line="311" w:lineRule="auto"/>
        <w:rPr>
          <w:sz w:val="20"/>
          <w:szCs w:val="20"/>
          <w:color w:val="auto"/>
        </w:rPr>
      </w:pPr>
      <w:r>
        <w:rPr>
          <w:rFonts w:ascii="Times New Roman" w:cs="Times New Roman" w:eastAsia="Times New Roman" w:hAnsi="Times New Roman"/>
          <w:sz w:val="13"/>
          <w:szCs w:val="13"/>
          <w:color w:val="auto"/>
        </w:rPr>
        <w:t>The term “senior indebtedness” means any obligation of the Company to its creditors, whether now outstanding or subsequently incurred, other than any obligation where, in the instrument creating or evidencing the obligation or pursuant to which the obligation is outstanding, it is provided that the obligation is not senior indebtedness. senior indebtedness includes, without limitation:</w:t>
      </w:r>
    </w:p>
    <w:p>
      <w:pPr>
        <w:spacing w:after="0" w:line="107" w:lineRule="exact"/>
        <w:rPr>
          <w:sz w:val="20"/>
          <w:szCs w:val="20"/>
          <w:color w:val="auto"/>
        </w:rPr>
      </w:pPr>
    </w:p>
    <w:p>
      <w:pPr>
        <w:ind w:left="1000" w:right="240" w:hanging="503"/>
        <w:spacing w:after="0" w:line="270" w:lineRule="auto"/>
        <w:tabs>
          <w:tab w:leader="none" w:pos="1000" w:val="left"/>
        </w:tabs>
        <w:numPr>
          <w:ilvl w:val="0"/>
          <w:numId w:val="30"/>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the principal (and premium, if any) of and interest in respect of indebtedness of the Company for borrowed money, whether or not evidenced by securities, notes, debentures, bonds or other similar instruments issued by the Company, including obligations incurred in connection with the acquisition of property, assets or businesses;</w:t>
      </w:r>
    </w:p>
    <w:p>
      <w:pPr>
        <w:spacing w:after="0" w:line="131" w:lineRule="exact"/>
        <w:rPr>
          <w:rFonts w:ascii="Arial" w:cs="Arial" w:eastAsia="Arial" w:hAnsi="Arial"/>
          <w:sz w:val="14"/>
          <w:szCs w:val="14"/>
          <w:b w:val="1"/>
          <w:bCs w:val="1"/>
          <w:color w:val="auto"/>
        </w:rPr>
      </w:pPr>
    </w:p>
    <w:p>
      <w:pPr>
        <w:ind w:left="1000" w:hanging="503"/>
        <w:spacing w:after="0"/>
        <w:tabs>
          <w:tab w:leader="none" w:pos="1000" w:val="left"/>
        </w:tabs>
        <w:numPr>
          <w:ilvl w:val="0"/>
          <w:numId w:val="30"/>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all capital lease obligations of the Company;</w:t>
      </w:r>
    </w:p>
    <w:p>
      <w:pPr>
        <w:spacing w:after="0" w:line="168" w:lineRule="exact"/>
        <w:rPr>
          <w:rFonts w:ascii="Arial" w:cs="Arial" w:eastAsia="Arial" w:hAnsi="Arial"/>
          <w:sz w:val="14"/>
          <w:szCs w:val="14"/>
          <w:b w:val="1"/>
          <w:bCs w:val="1"/>
          <w:color w:val="auto"/>
        </w:rPr>
      </w:pPr>
    </w:p>
    <w:p>
      <w:pPr>
        <w:ind w:left="1000" w:hanging="503"/>
        <w:spacing w:after="0" w:line="270" w:lineRule="auto"/>
        <w:tabs>
          <w:tab w:leader="none" w:pos="1000" w:val="left"/>
        </w:tabs>
        <w:numPr>
          <w:ilvl w:val="0"/>
          <w:numId w:val="30"/>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all obligations of the Company issued or assumed as the deferred purchase price of property, all conditional sale obligations of the Company and all obligations of the Company under any conditional sale or title retention agreement, but excluding trade accounts payable in the ordinary course of business;</w:t>
      </w:r>
    </w:p>
    <w:p>
      <w:pPr>
        <w:spacing w:after="0" w:line="131" w:lineRule="exact"/>
        <w:rPr>
          <w:rFonts w:ascii="Arial" w:cs="Arial" w:eastAsia="Arial" w:hAnsi="Arial"/>
          <w:sz w:val="14"/>
          <w:szCs w:val="14"/>
          <w:b w:val="1"/>
          <w:bCs w:val="1"/>
          <w:color w:val="auto"/>
        </w:rPr>
      </w:pPr>
    </w:p>
    <w:p>
      <w:pPr>
        <w:ind w:left="1000" w:hanging="503"/>
        <w:spacing w:after="0" w:line="270" w:lineRule="auto"/>
        <w:tabs>
          <w:tab w:leader="none" w:pos="1000" w:val="left"/>
        </w:tabs>
        <w:numPr>
          <w:ilvl w:val="0"/>
          <w:numId w:val="30"/>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all obligations of the Company arising from off-balance sheet guarantees and direct credit substitutes, including obligations in respect of any letters of credit, bankers’ acceptance, security purchase facilities and similar credit transactions;</w:t>
      </w:r>
    </w:p>
    <w:p>
      <w:pPr>
        <w:spacing w:after="0" w:line="131" w:lineRule="exact"/>
        <w:rPr>
          <w:rFonts w:ascii="Arial" w:cs="Arial" w:eastAsia="Arial" w:hAnsi="Arial"/>
          <w:sz w:val="14"/>
          <w:szCs w:val="14"/>
          <w:b w:val="1"/>
          <w:bCs w:val="1"/>
          <w:color w:val="auto"/>
        </w:rPr>
      </w:pPr>
    </w:p>
    <w:p>
      <w:pPr>
        <w:ind w:left="1000" w:right="40" w:hanging="503"/>
        <w:spacing w:after="0" w:line="270" w:lineRule="auto"/>
        <w:tabs>
          <w:tab w:leader="none" w:pos="1000" w:val="left"/>
        </w:tabs>
        <w:numPr>
          <w:ilvl w:val="0"/>
          <w:numId w:val="30"/>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all obligations of the Company associated with derivative products, including obligations in respect of interest rate swap, cap or other agreements, interest rate future or options contracts, currency swap agreements, currency future or option contracts and other similar agreements;</w:t>
      </w:r>
    </w:p>
    <w:p>
      <w:pPr>
        <w:spacing w:after="0" w:line="131" w:lineRule="exact"/>
        <w:rPr>
          <w:rFonts w:ascii="Arial" w:cs="Arial" w:eastAsia="Arial" w:hAnsi="Arial"/>
          <w:sz w:val="14"/>
          <w:szCs w:val="14"/>
          <w:b w:val="1"/>
          <w:bCs w:val="1"/>
          <w:color w:val="auto"/>
        </w:rPr>
      </w:pPr>
    </w:p>
    <w:p>
      <w:pPr>
        <w:ind w:left="1000" w:right="440" w:hanging="503"/>
        <w:spacing w:after="0" w:line="270" w:lineRule="auto"/>
        <w:tabs>
          <w:tab w:leader="none" w:pos="1000" w:val="left"/>
        </w:tabs>
        <w:numPr>
          <w:ilvl w:val="0"/>
          <w:numId w:val="30"/>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all obligations of the type referred to in the first five (5) bullet points above of other persons for the payment of which the Company is responsible or liable as obligor, guarantor or otherwise;</w:t>
      </w:r>
    </w:p>
    <w:p>
      <w:pPr>
        <w:spacing w:after="0" w:line="131" w:lineRule="exact"/>
        <w:rPr>
          <w:rFonts w:ascii="Arial" w:cs="Arial" w:eastAsia="Arial" w:hAnsi="Arial"/>
          <w:sz w:val="14"/>
          <w:szCs w:val="14"/>
          <w:b w:val="1"/>
          <w:bCs w:val="1"/>
          <w:color w:val="auto"/>
        </w:rPr>
      </w:pPr>
    </w:p>
    <w:p>
      <w:pPr>
        <w:ind w:left="1000" w:right="60" w:hanging="503"/>
        <w:spacing w:after="0" w:line="270" w:lineRule="auto"/>
        <w:tabs>
          <w:tab w:leader="none" w:pos="1000" w:val="left"/>
        </w:tabs>
        <w:numPr>
          <w:ilvl w:val="0"/>
          <w:numId w:val="30"/>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all obligations of the type referred to in the first six (6) bullet points above of other persons secured by any lien on any property or asset of the Company whether or not such obligation is assumed by the Company; and</w:t>
      </w:r>
    </w:p>
    <w:p>
      <w:pPr>
        <w:spacing w:after="0" w:line="131" w:lineRule="exact"/>
        <w:rPr>
          <w:rFonts w:ascii="Arial" w:cs="Arial" w:eastAsia="Arial" w:hAnsi="Arial"/>
          <w:sz w:val="14"/>
          <w:szCs w:val="14"/>
          <w:b w:val="1"/>
          <w:bCs w:val="1"/>
          <w:color w:val="auto"/>
        </w:rPr>
      </w:pPr>
    </w:p>
    <w:p>
      <w:pPr>
        <w:ind w:left="1000" w:hanging="503"/>
        <w:spacing w:after="0"/>
        <w:tabs>
          <w:tab w:leader="none" w:pos="1000" w:val="left"/>
        </w:tabs>
        <w:numPr>
          <w:ilvl w:val="0"/>
          <w:numId w:val="30"/>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any deferrals, renewals or extensions of any obligations of the type referred to in the first seven (7) bullet points above.</w:t>
      </w:r>
    </w:p>
    <w:p>
      <w:pPr>
        <w:spacing w:after="0" w:line="1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However, “senior indebtedness” excludes:</w:t>
      </w:r>
    </w:p>
    <w:p>
      <w:pPr>
        <w:spacing w:after="0" w:line="169" w:lineRule="exact"/>
        <w:rPr>
          <w:sz w:val="20"/>
          <w:szCs w:val="20"/>
          <w:color w:val="auto"/>
        </w:rPr>
      </w:pPr>
    </w:p>
    <w:p>
      <w:pPr>
        <w:ind w:left="1000" w:hanging="503"/>
        <w:spacing w:after="0"/>
        <w:tabs>
          <w:tab w:leader="none" w:pos="1000" w:val="left"/>
        </w:tabs>
        <w:numPr>
          <w:ilvl w:val="0"/>
          <w:numId w:val="31"/>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the notes;</w:t>
      </w:r>
    </w:p>
    <w:p>
      <w:pPr>
        <w:spacing w:after="0" w:line="168" w:lineRule="exact"/>
        <w:rPr>
          <w:rFonts w:ascii="Arial" w:cs="Arial" w:eastAsia="Arial" w:hAnsi="Arial"/>
          <w:sz w:val="14"/>
          <w:szCs w:val="14"/>
          <w:b w:val="1"/>
          <w:bCs w:val="1"/>
          <w:color w:val="auto"/>
        </w:rPr>
      </w:pPr>
    </w:p>
    <w:p>
      <w:pPr>
        <w:ind w:left="1000" w:hanging="503"/>
        <w:spacing w:after="0"/>
        <w:tabs>
          <w:tab w:leader="none" w:pos="1000" w:val="left"/>
        </w:tabs>
        <w:numPr>
          <w:ilvl w:val="0"/>
          <w:numId w:val="31"/>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the Company’s $25.0 million in aggregate principal amount of its Fixed-to-Floating Rate Subordinated Notes due 2030, which the Company redeemed in April 2026;</w:t>
      </w:r>
    </w:p>
    <w:p>
      <w:pPr>
        <w:spacing w:after="0" w:line="168" w:lineRule="exact"/>
        <w:rPr>
          <w:rFonts w:ascii="Arial" w:cs="Arial" w:eastAsia="Arial" w:hAnsi="Arial"/>
          <w:sz w:val="14"/>
          <w:szCs w:val="14"/>
          <w:b w:val="1"/>
          <w:bCs w:val="1"/>
          <w:color w:val="auto"/>
        </w:rPr>
      </w:pPr>
    </w:p>
    <w:p>
      <w:pPr>
        <w:ind w:left="1000" w:hanging="503"/>
        <w:spacing w:after="0"/>
        <w:tabs>
          <w:tab w:leader="none" w:pos="1000" w:val="left"/>
        </w:tabs>
        <w:numPr>
          <w:ilvl w:val="0"/>
          <w:numId w:val="31"/>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trade accounts payable arising in the ordinary course of business; or</w:t>
      </w:r>
    </w:p>
    <w:p>
      <w:pPr>
        <w:spacing w:after="0" w:line="168" w:lineRule="exact"/>
        <w:rPr>
          <w:rFonts w:ascii="Arial" w:cs="Arial" w:eastAsia="Arial" w:hAnsi="Arial"/>
          <w:sz w:val="14"/>
          <w:szCs w:val="14"/>
          <w:b w:val="1"/>
          <w:bCs w:val="1"/>
          <w:color w:val="auto"/>
        </w:rPr>
      </w:pPr>
    </w:p>
    <w:p>
      <w:pPr>
        <w:ind w:left="1000" w:hanging="503"/>
        <w:spacing w:after="0"/>
        <w:tabs>
          <w:tab w:leader="none" w:pos="1000" w:val="left"/>
        </w:tabs>
        <w:numPr>
          <w:ilvl w:val="0"/>
          <w:numId w:val="31"/>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any indebtedness that by its terms is subordinated to, or ranks on an equal basis with, the notes.</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wp:posOffset>
            </wp:positionV>
            <wp:extent cx="7164705" cy="63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4">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60"/>
          </w:cols>
          <w:pgMar w:left="300" w:top="720" w:right="339" w:bottom="1440" w:gutter="0" w:footer="0" w:header="0"/>
        </w:sectPr>
      </w:pPr>
    </w:p>
    <w:bookmarkStart w:id="40" w:name="page41"/>
    <w:bookmarkEnd w:id="40"/>
    <w:p>
      <w:pPr>
        <w:ind w:right="40" w:firstLine="495"/>
        <w:spacing w:after="0" w:line="271" w:lineRule="auto"/>
        <w:rPr>
          <w:sz w:val="20"/>
          <w:szCs w:val="20"/>
          <w:color w:val="auto"/>
        </w:rPr>
      </w:pPr>
      <w:r>
        <w:rPr>
          <w:rFonts w:ascii="Times New Roman" w:cs="Times New Roman" w:eastAsia="Times New Roman" w:hAnsi="Times New Roman"/>
          <w:sz w:val="14"/>
          <w:szCs w:val="14"/>
          <w:color w:val="auto"/>
        </w:rPr>
        <w:t>In accordance with the subordination provisions of the indenture and the notes, we are permitted to make payments of accrued and unpaid interest on the notes on the interest payment dates and at maturity and to pay the principal of the notes at maturity unless:</w:t>
      </w:r>
    </w:p>
    <w:p>
      <w:pPr>
        <w:spacing w:after="0" w:line="131" w:lineRule="exact"/>
        <w:rPr>
          <w:sz w:val="20"/>
          <w:szCs w:val="20"/>
          <w:color w:val="auto"/>
        </w:rPr>
      </w:pPr>
    </w:p>
    <w:p>
      <w:pPr>
        <w:ind w:left="1000" w:right="80" w:hanging="503"/>
        <w:spacing w:after="0" w:line="270" w:lineRule="auto"/>
        <w:tabs>
          <w:tab w:leader="none" w:pos="1000" w:val="left"/>
        </w:tabs>
        <w:numPr>
          <w:ilvl w:val="0"/>
          <w:numId w:val="32"/>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we are subject to any termination, winding up, liquidation or reorganization, whether in bankruptcy, insolvency, reorganization or receivership proceedings or upon an assignment for the benefit of our creditors or any other marshalling of our assets and liabilities; or</w:t>
      </w:r>
    </w:p>
    <w:p>
      <w:pPr>
        <w:spacing w:after="0" w:line="131" w:lineRule="exact"/>
        <w:rPr>
          <w:rFonts w:ascii="Arial" w:cs="Arial" w:eastAsia="Arial" w:hAnsi="Arial"/>
          <w:sz w:val="14"/>
          <w:szCs w:val="14"/>
          <w:b w:val="1"/>
          <w:bCs w:val="1"/>
          <w:color w:val="auto"/>
        </w:rPr>
      </w:pPr>
    </w:p>
    <w:p>
      <w:pPr>
        <w:ind w:left="1000" w:right="100" w:hanging="503"/>
        <w:spacing w:after="0" w:line="254" w:lineRule="auto"/>
        <w:tabs>
          <w:tab w:leader="none" w:pos="1000" w:val="left"/>
        </w:tabs>
        <w:numPr>
          <w:ilvl w:val="0"/>
          <w:numId w:val="32"/>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a default in the payment of principal of, or premium, if any, or interest on, any senior indebtedness, has occurred and is continuing beyond any applicable grace period or an event of default has occurred and is continuing with respect to any senior indebtedness, or would occur as a result of a payment of principal of, or interest on, the notes being made and that event of default would permit the holders of any senior indebtedness to accelerate the maturity of that senior indebtedness and such default or event of default has not been cured, waived or otherwise have ceased to exist.</w:t>
      </w:r>
    </w:p>
    <w:p>
      <w:pPr>
        <w:spacing w:after="0" w:line="142" w:lineRule="exact"/>
        <w:rPr>
          <w:sz w:val="20"/>
          <w:szCs w:val="20"/>
          <w:color w:val="auto"/>
        </w:rPr>
      </w:pPr>
    </w:p>
    <w:p>
      <w:pPr>
        <w:ind w:firstLine="495"/>
        <w:spacing w:after="0" w:line="250" w:lineRule="auto"/>
        <w:rPr>
          <w:sz w:val="20"/>
          <w:szCs w:val="20"/>
          <w:color w:val="auto"/>
        </w:rPr>
      </w:pPr>
      <w:r>
        <w:rPr>
          <w:rFonts w:ascii="Times New Roman" w:cs="Times New Roman" w:eastAsia="Times New Roman" w:hAnsi="Times New Roman"/>
          <w:sz w:val="14"/>
          <w:szCs w:val="14"/>
          <w:color w:val="auto"/>
        </w:rPr>
        <w:t>Upon our termination, winding up, liquidation or reorganization, whether in bankruptcy, insolvency, reorganization or receivership proceedings or upon an assignment for the benefit of our creditors or any other marshalling of our assets and liabilities or otherwise, we must pay to the holders of all of our senior indebtedness the full amounts of principal of, and premium, if any, and interest on, that senior indebtedness before any payment is made on the notes. If, after we have paid the senior indebtedness in full, there are any amounts available for payment of the notes and any of our other indebtedness and obligations ranking equally in right of payment with the notes, then we will use such remaining assets to pay the amounts of principal of, premium, if any, and accrued and unpaid interest on, the notes and such other of our indebtedness and obligations that rank equally in right of payment with the notes. If those assets are insufficient to pay in full the principal of, premium, if any, and interest on the notes and such other indebtedness and obligations, those assets will be applicable ratably to the payment of such amounts owing with respect to the notes and such other indebtedness and obligations.</w:t>
      </w:r>
    </w:p>
    <w:p>
      <w:pPr>
        <w:spacing w:after="0" w:line="145" w:lineRule="exact"/>
        <w:rPr>
          <w:sz w:val="20"/>
          <w:szCs w:val="20"/>
          <w:color w:val="auto"/>
        </w:rPr>
      </w:pPr>
    </w:p>
    <w:p>
      <w:pPr>
        <w:ind w:right="40" w:firstLine="495"/>
        <w:spacing w:after="0" w:line="252" w:lineRule="auto"/>
        <w:rPr>
          <w:sz w:val="20"/>
          <w:szCs w:val="20"/>
          <w:color w:val="auto"/>
        </w:rPr>
      </w:pPr>
      <w:r>
        <w:rPr>
          <w:rFonts w:ascii="Times New Roman" w:cs="Times New Roman" w:eastAsia="Times New Roman" w:hAnsi="Times New Roman"/>
          <w:sz w:val="14"/>
          <w:szCs w:val="14"/>
          <w:color w:val="auto"/>
        </w:rPr>
        <w:t>In the event that we are subject to any termination, winding up, liquidation or reorganization, whether in bankruptcy, insolvency, reorganization or receivership proceedings or upon an assignment for the benefit of our creditors or any other marshalling of our assets and liabilities or otherwise, if the holders of the notes receive for any reason any payment on the notes or other distributions of our assets with respect to the notes before all of our senior indebtedness is paid in full, the holders of the notes will be required to return that payment or distribution to the bankruptcy trustee, receiver, liquidating trustee, custodian, assignee, agent or other person making payment of our assets for all our senior indebtedness remaining unpaid until all that senior indebtedness has been paid in full, after giving effect to any other concurrent payment or distribution to the holders of such senior indebtedness.</w:t>
      </w:r>
    </w:p>
    <w:p>
      <w:pPr>
        <w:spacing w:after="0" w:line="144" w:lineRule="exact"/>
        <w:rPr>
          <w:sz w:val="20"/>
          <w:szCs w:val="20"/>
          <w:color w:val="auto"/>
        </w:rPr>
      </w:pPr>
    </w:p>
    <w:p>
      <w:pPr>
        <w:ind w:right="120" w:firstLine="495"/>
        <w:spacing w:after="0" w:line="271" w:lineRule="auto"/>
        <w:rPr>
          <w:sz w:val="20"/>
          <w:szCs w:val="20"/>
          <w:color w:val="auto"/>
        </w:rPr>
      </w:pPr>
      <w:r>
        <w:rPr>
          <w:rFonts w:ascii="Times New Roman" w:cs="Times New Roman" w:eastAsia="Times New Roman" w:hAnsi="Times New Roman"/>
          <w:sz w:val="14"/>
          <w:szCs w:val="14"/>
          <w:color w:val="auto"/>
        </w:rPr>
        <w:t>As a result of the subordination of the notes in favor of the holders of our senior indebtedness, in the event of our bankruptcy or insolvency, holders of our senior indebtedness may receive more, ratably, and holders of the notes may receive less, ratably, than our other creditors.</w:t>
      </w:r>
    </w:p>
    <w:p>
      <w:pPr>
        <w:spacing w:after="0" w:line="131" w:lineRule="exact"/>
        <w:rPr>
          <w:sz w:val="20"/>
          <w:szCs w:val="20"/>
          <w:color w:val="auto"/>
        </w:rPr>
      </w:pPr>
    </w:p>
    <w:p>
      <w:pPr>
        <w:ind w:firstLine="495"/>
        <w:spacing w:after="0" w:line="249" w:lineRule="auto"/>
        <w:rPr>
          <w:sz w:val="20"/>
          <w:szCs w:val="20"/>
          <w:color w:val="auto"/>
        </w:rPr>
      </w:pPr>
      <w:r>
        <w:rPr>
          <w:rFonts w:ascii="Times New Roman" w:cs="Times New Roman" w:eastAsia="Times New Roman" w:hAnsi="Times New Roman"/>
          <w:sz w:val="14"/>
          <w:szCs w:val="14"/>
          <w:color w:val="auto"/>
        </w:rPr>
        <w:t>All liabilities of the Bank, including deposits and liabilities to general creditors arising during its ordinary course of business or otherwise, will be effectively senior in right of payment to the notes to the extent of the assets of the subsidiary because, as a shareholder of the subsidiary, we do not have any rights to the assets of the subsidiary except if the subsidiary declares a dividend payable to us or if there are assets of the subsidiary remaining after it has discharged its liabilities to its creditors in connection with its liquidation. As of March 31, 2026, the Company and its subsidiaries had total outstanding liabilities, excluding intercompany liabilities, of $2.2 billion. Over the term of the notes, we will need to rely primarily on dividends paid to us by the Bank, which is a regulated and supervised depository institution, for the funds necessary to pay the interest on our outstanding debt obligations and to make dividends and other payments on our other securities outstanding now or in the future. With respect to the payment of the principal of the notes at their maturity, we may rely on the funds we receive from dividends paid to us by the Bank but may have to rely on the proceeds of borrowings and/or the sale of other securities to pay the principal amount of the notes. Regulatory rules may restrict the Bank’s ability to pay dividends or make other distributions to us or provide funds to us by other means. As a result, with respect to the assets of the Bank, our creditors (including the holders of the notes) are structurally subordinated to the prior claims of creditors of the Bank, including its depositors, except to the extent that we may be a creditor with recognized claims against the Bank.</w:t>
      </w: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wp:posOffset>
            </wp:positionV>
            <wp:extent cx="7164705" cy="63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5">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60"/>
          </w:cols>
          <w:pgMar w:left="300" w:top="724"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color w:val="auto"/>
        </w:rPr>
        <w:t>Redemption</w:t>
      </w:r>
    </w:p>
    <w:p>
      <w:pPr>
        <w:spacing w:after="0" w:line="173" w:lineRule="exact"/>
        <w:rPr>
          <w:sz w:val="20"/>
          <w:szCs w:val="20"/>
          <w:color w:val="auto"/>
        </w:rPr>
      </w:pPr>
    </w:p>
    <w:p>
      <w:pPr>
        <w:ind w:right="40" w:firstLine="495"/>
        <w:spacing w:after="0" w:line="271" w:lineRule="auto"/>
        <w:rPr>
          <w:sz w:val="20"/>
          <w:szCs w:val="20"/>
          <w:color w:val="auto"/>
        </w:rPr>
      </w:pPr>
      <w:r>
        <w:rPr>
          <w:rFonts w:ascii="Times New Roman" w:cs="Times New Roman" w:eastAsia="Times New Roman" w:hAnsi="Times New Roman"/>
          <w:sz w:val="14"/>
          <w:szCs w:val="14"/>
          <w:color w:val="auto"/>
        </w:rPr>
        <w:t>We may, at our option, redeem the notes, in whole or in part, beginning with the interest payment date of March 15, 2031 and on any interest payment date thereafter. In addition, at our option, we may redeem the notes in whole but not in part, at any time upon the occurrence of:</w:t>
      </w:r>
    </w:p>
    <w:p>
      <w:pPr>
        <w:spacing w:after="0" w:line="131" w:lineRule="exact"/>
        <w:rPr>
          <w:sz w:val="20"/>
          <w:szCs w:val="20"/>
          <w:color w:val="auto"/>
        </w:rPr>
      </w:pPr>
    </w:p>
    <w:p>
      <w:pPr>
        <w:ind w:left="1000" w:right="20" w:hanging="503"/>
        <w:spacing w:after="0" w:line="249" w:lineRule="auto"/>
        <w:tabs>
          <w:tab w:leader="none" w:pos="1000" w:val="left"/>
        </w:tabs>
        <w:numPr>
          <w:ilvl w:val="0"/>
          <w:numId w:val="33"/>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a “Tier 2 Capital Event,” which is defined in the indenture to mean the Company’s good faith determination that, as a result of (a) any amendment to, or change in, the laws, rules or regulations of the United States (including, for the avoidance of doubt, any agency or instrumentality of the United States, including the Federal Reserve and other federal bank regulatory agencies) or any political subdivision of or in the United States that is enacted or becomes effective after the issue date of the notes; (b) any proposed change in those laws, rules or regulations that is announced or becomes effective after the issue date of the notes; or (c) any official administrative decision or judicial decision or administrative action or other official pronouncement interpreting or applying those laws, rules, regulations, policies or guidelines with respect thereto that is announced after the issue date of the notes, there is more than an insubstantial risk that the Company will not be entitled to treat the notes then outstanding as “Tier 2 Capital” (or its equivalent) for purposes of the capital adequacy rules or regulations of the Federal Reserve (or its designee) (or, as and if applicable, the capital adequacy rules or regulations of any successor appropriate federal banking agency) as then in effect and applicable to the Company, for so long as any notes are outstanding;</w:t>
      </w:r>
    </w:p>
    <w:p>
      <w:pPr>
        <w:spacing w:after="0" w:line="146" w:lineRule="exact"/>
        <w:rPr>
          <w:rFonts w:ascii="Arial" w:cs="Arial" w:eastAsia="Arial" w:hAnsi="Arial"/>
          <w:sz w:val="14"/>
          <w:szCs w:val="14"/>
          <w:b w:val="1"/>
          <w:bCs w:val="1"/>
          <w:color w:val="auto"/>
        </w:rPr>
      </w:pPr>
    </w:p>
    <w:p>
      <w:pPr>
        <w:ind w:left="1000" w:hanging="503"/>
        <w:spacing w:after="0" w:line="249" w:lineRule="auto"/>
        <w:tabs>
          <w:tab w:leader="none" w:pos="1000" w:val="left"/>
        </w:tabs>
        <w:numPr>
          <w:ilvl w:val="0"/>
          <w:numId w:val="33"/>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a “Tax Event,” which is defined in the indenture to mean the receipt by the Company of an opinion of independent tax counsel to the effect that as a result of (a) an amendment to or change (including any announced prospective amendment or change) in any law or treaty, or any regulation thereunder, of the United States or any of its political subdivisions or taxing authorities; (b) a judicial decision, administrative action, official administrative pronouncement, ruling, regulatory procedure, regulation, notice or announcement, including any notice or announcement of intent to adopt or promulgate any ruling, regulatory procedure or regulation (any of the foregoing, an “Administrative or Judicial Action”); or (c) an amendment to or change in any official position with respect to, or any interpretation of, an Administrative or Judicial Action or a law or regulation of the United States that differs from the previously generally accepted position or interpretation, in each case, which change or amendment or challenge becomes effective or which pronouncement, decision or challenge is announced on or after the issue date of the notes, there is more than an insubstantial risk that interest payable by the Company on the notes is not, or, within ninety (90) days of the date of such opinion, will not be, deductible by the Company, in whole or in part, for United States federal income tax purposes; or</w:t>
      </w:r>
    </w:p>
    <w:p>
      <w:pPr>
        <w:spacing w:after="0" w:line="146" w:lineRule="exact"/>
        <w:rPr>
          <w:rFonts w:ascii="Arial" w:cs="Arial" w:eastAsia="Arial" w:hAnsi="Arial"/>
          <w:sz w:val="14"/>
          <w:szCs w:val="14"/>
          <w:b w:val="1"/>
          <w:bCs w:val="1"/>
          <w:color w:val="auto"/>
        </w:rPr>
      </w:pPr>
    </w:p>
    <w:p>
      <w:pPr>
        <w:ind w:left="1000" w:right="160" w:hanging="503"/>
        <w:spacing w:after="0" w:line="270" w:lineRule="auto"/>
        <w:tabs>
          <w:tab w:leader="none" w:pos="1000" w:val="left"/>
        </w:tabs>
        <w:numPr>
          <w:ilvl w:val="0"/>
          <w:numId w:val="33"/>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an “Investment Company Event,” means any event whereby the Company becomes required to register as an investment company pursuant to the Investment Company Act of 1940, as amended.</w:t>
      </w:r>
    </w:p>
    <w:p>
      <w:pPr>
        <w:spacing w:after="0" w:line="13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4"/>
          <w:szCs w:val="14"/>
          <w:color w:val="auto"/>
        </w:rPr>
        <w:t>Any redemption of the New Notes will be subject to prior approval of the Federal Reserve or any successor agency, and any other bank regulatory agency, to the extent such approval shall then be required by law, regulation or policy. Any redemption of the New Notes will be at a redemption price equal to the principal amount of the New Notes, or portion thereof, to be redeemed plus accrued and unpaid interest to, but excluding, the date of redemption. Any redemption of the New Notes will be subject to any required regulatory approvals.</w:t>
      </w:r>
    </w:p>
    <w:p>
      <w:pPr>
        <w:spacing w:after="0" w:line="14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If less than all of the notes are to be redeemed, the notes will be redeemed on a pro rata basis.</w:t>
      </w:r>
    </w:p>
    <w:p>
      <w:pPr>
        <w:spacing w:after="0" w:line="169" w:lineRule="exact"/>
        <w:rPr>
          <w:sz w:val="20"/>
          <w:szCs w:val="20"/>
          <w:color w:val="auto"/>
        </w:rPr>
      </w:pPr>
    </w:p>
    <w:p>
      <w:pPr>
        <w:ind w:right="20" w:firstLine="495"/>
        <w:spacing w:after="0" w:line="254" w:lineRule="auto"/>
        <w:rPr>
          <w:sz w:val="20"/>
          <w:szCs w:val="20"/>
          <w:color w:val="auto"/>
        </w:rPr>
      </w:pPr>
      <w:r>
        <w:rPr>
          <w:rFonts w:ascii="Times New Roman" w:cs="Times New Roman" w:eastAsia="Times New Roman" w:hAnsi="Times New Roman"/>
          <w:sz w:val="14"/>
          <w:szCs w:val="14"/>
          <w:color w:val="auto"/>
        </w:rPr>
        <w:t>Notices of redemption will be mailed by first class mail at least thirty (30) but no more than sixty (60) days before the redemption date to each holder of notes to be redeemed at its registered address. If any note is to be redeemed in part only, the notice of redemption that relates to that note will state the portion of the principal amount thereof to be redeemed. A new note in principal amount equal to the unredeemed portion of the original note, if any, will be issued in the name of the holder thereof upon cancellation of the original note. Notes called for redemption become due on the date fixed for redemption. On and after the redemption date, interest ceases to accrue on notes or portions of them called for redemption.</w:t>
      </w:r>
    </w:p>
    <w:p>
      <w:pPr>
        <w:spacing w:after="0" w:line="3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wp:posOffset>
            </wp:positionV>
            <wp:extent cx="7164705" cy="63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6">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60"/>
          </w:cols>
          <w:pgMar w:left="300" w:top="720"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color w:val="auto"/>
        </w:rPr>
        <w:t>Repurchases</w:t>
      </w:r>
    </w:p>
    <w:p>
      <w:pPr>
        <w:spacing w:after="0" w:line="173" w:lineRule="exact"/>
        <w:rPr>
          <w:sz w:val="20"/>
          <w:szCs w:val="20"/>
          <w:color w:val="auto"/>
        </w:rPr>
      </w:pPr>
    </w:p>
    <w:p>
      <w:pPr>
        <w:ind w:right="380" w:firstLine="495"/>
        <w:spacing w:after="0" w:line="271" w:lineRule="auto"/>
        <w:rPr>
          <w:sz w:val="20"/>
          <w:szCs w:val="20"/>
          <w:color w:val="auto"/>
        </w:rPr>
      </w:pPr>
      <w:r>
        <w:rPr>
          <w:rFonts w:ascii="Times New Roman" w:cs="Times New Roman" w:eastAsia="Times New Roman" w:hAnsi="Times New Roman"/>
          <w:sz w:val="14"/>
          <w:szCs w:val="14"/>
          <w:color w:val="auto"/>
        </w:rPr>
        <w:t>We may purchase notes at any time on the open market or otherwise. If we purchase notes in this manner, we have the discretion to hold, resell or surrender the notes to the trustee under the indenture for cancellation.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 Sinking Fund; Non-Convertible</w:t>
      </w:r>
    </w:p>
    <w:p>
      <w:pPr>
        <w:spacing w:after="0" w:line="173" w:lineRule="exact"/>
        <w:rPr>
          <w:sz w:val="20"/>
          <w:szCs w:val="20"/>
          <w:color w:val="auto"/>
        </w:rPr>
      </w:pPr>
    </w:p>
    <w:p>
      <w:pPr>
        <w:ind w:right="80" w:firstLine="495"/>
        <w:spacing w:after="0" w:line="271" w:lineRule="auto"/>
        <w:rPr>
          <w:sz w:val="20"/>
          <w:szCs w:val="20"/>
          <w:color w:val="auto"/>
        </w:rPr>
      </w:pPr>
      <w:r>
        <w:rPr>
          <w:rFonts w:ascii="Times New Roman" w:cs="Times New Roman" w:eastAsia="Times New Roman" w:hAnsi="Times New Roman"/>
          <w:sz w:val="14"/>
          <w:szCs w:val="14"/>
          <w:color w:val="auto"/>
        </w:rPr>
        <w:t>The notes will not be entitled to the benefit of any sinking fund. This means that we will not deposit money on a regular basis into any separate custodial account to repay the notes. The notes are not convertible into, or exchangeable for, any of our equity securities, other securities or assets of the Company or any subsidiary.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Form, Denomination, Transfer, Exchange and Book-Entry Procedures</w:t>
      </w:r>
    </w:p>
    <w:p>
      <w:pPr>
        <w:spacing w:after="0" w:line="17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The notes will be issued only in fully registered form, without interest coupons, and in minimum denominations of $100,000 and integral multiples of $1,000.</w:t>
      </w:r>
    </w:p>
    <w:p>
      <w:pPr>
        <w:spacing w:after="0" w:line="169" w:lineRule="exact"/>
        <w:rPr>
          <w:sz w:val="20"/>
          <w:szCs w:val="20"/>
          <w:color w:val="auto"/>
        </w:rPr>
      </w:pPr>
    </w:p>
    <w:p>
      <w:pPr>
        <w:ind w:right="20" w:firstLine="495"/>
        <w:spacing w:after="0" w:line="252" w:lineRule="auto"/>
        <w:rPr>
          <w:sz w:val="20"/>
          <w:szCs w:val="20"/>
          <w:color w:val="auto"/>
        </w:rPr>
      </w:pPr>
      <w:r>
        <w:rPr>
          <w:rFonts w:ascii="Times New Roman" w:cs="Times New Roman" w:eastAsia="Times New Roman" w:hAnsi="Times New Roman"/>
          <w:sz w:val="14"/>
          <w:szCs w:val="14"/>
          <w:color w:val="auto"/>
        </w:rPr>
        <w:t>Unless otherwise required for accredited investors, the notes will be evidenced by a global note which will be deposited with, or on behalf of, DTC, or any successor thereto, and registered in the name of Cede &amp; Co., or Cede, as nominee of DTC. Except as set forth below, record ownership of the global note may be transferred, in whole or in part, only to another nominee of DTC or to a successor of DTC or its nominee. If New Notes are issued to accredited investors in certificated form, the New Notes will be transferable only on the records of the trustee and may not be exchanged for a beneficial interest in the global note unless the exchange occurs in connection with a transfer where the transferor and transferee provide evidence satisfactory to the trustee and DTC that the transferee is eligible to hold a beneficial interest in the global note.</w:t>
      </w:r>
    </w:p>
    <w:p>
      <w:pPr>
        <w:spacing w:after="0" w:line="1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3"/>
          <w:szCs w:val="13"/>
          <w:color w:val="auto"/>
        </w:rPr>
        <w:t>The global note will not be registered in the name of any person, or exchanged for notes that are registered in the name of any person, other than DTC or its nominee, unless one of the following</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occurs:</w:t>
      </w:r>
    </w:p>
    <w:p>
      <w:pPr>
        <w:spacing w:after="0" w:line="155" w:lineRule="exact"/>
        <w:rPr>
          <w:sz w:val="20"/>
          <w:szCs w:val="20"/>
          <w:color w:val="auto"/>
        </w:rPr>
      </w:pPr>
    </w:p>
    <w:p>
      <w:pPr>
        <w:ind w:left="1000" w:right="20" w:hanging="503"/>
        <w:spacing w:after="0" w:line="270" w:lineRule="auto"/>
        <w:tabs>
          <w:tab w:leader="none" w:pos="1000" w:val="left"/>
        </w:tabs>
        <w:numPr>
          <w:ilvl w:val="0"/>
          <w:numId w:val="34"/>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DTC notifies us that it is unwilling or unable to continue acting as the depositary for the global note, or DTC has ceased to be a clearing agency registered under the Exchange Act, and in either case, we fail to appoint a successor depositary; or</w:t>
      </w:r>
    </w:p>
    <w:p>
      <w:pPr>
        <w:spacing w:after="0" w:line="131" w:lineRule="exact"/>
        <w:rPr>
          <w:rFonts w:ascii="Arial" w:cs="Arial" w:eastAsia="Arial" w:hAnsi="Arial"/>
          <w:sz w:val="14"/>
          <w:szCs w:val="14"/>
          <w:b w:val="1"/>
          <w:bCs w:val="1"/>
          <w:color w:val="auto"/>
        </w:rPr>
      </w:pPr>
    </w:p>
    <w:p>
      <w:pPr>
        <w:ind w:left="1000" w:hanging="503"/>
        <w:spacing w:after="0"/>
        <w:tabs>
          <w:tab w:leader="none" w:pos="1000" w:val="left"/>
        </w:tabs>
        <w:numPr>
          <w:ilvl w:val="0"/>
          <w:numId w:val="34"/>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an event of default with respect to the notes represented by the global note has occurred and is continuing.</w:t>
      </w:r>
    </w:p>
    <w:p>
      <w:pPr>
        <w:spacing w:after="0" w:line="168" w:lineRule="exact"/>
        <w:rPr>
          <w:sz w:val="20"/>
          <w:szCs w:val="20"/>
          <w:color w:val="auto"/>
        </w:rPr>
      </w:pPr>
    </w:p>
    <w:p>
      <w:pPr>
        <w:ind w:firstLine="495"/>
        <w:spacing w:after="0" w:line="271" w:lineRule="auto"/>
        <w:rPr>
          <w:sz w:val="20"/>
          <w:szCs w:val="20"/>
          <w:color w:val="auto"/>
        </w:rPr>
      </w:pPr>
      <w:r>
        <w:rPr>
          <w:rFonts w:ascii="Times New Roman" w:cs="Times New Roman" w:eastAsia="Times New Roman" w:hAnsi="Times New Roman"/>
          <w:sz w:val="14"/>
          <w:szCs w:val="14"/>
          <w:color w:val="auto"/>
        </w:rPr>
        <w:t>In those circumstances, DTC will determine in whose names any securities issued in exchange for the global note will be registered. Any such notes in certificated form will be issued in minimum denominations of $100,000 and multiples of $1,000 in excess thereof and may be transferred or exchanged only in such minimum denominations.</w:t>
      </w:r>
    </w:p>
    <w:p>
      <w:pPr>
        <w:spacing w:after="0" w:line="13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DTC or its nominee will be considered the sole owner and holder of the global note for all purposes, and as a result:</w:t>
      </w:r>
    </w:p>
    <w:p>
      <w:pPr>
        <w:spacing w:after="0" w:line="169" w:lineRule="exact"/>
        <w:rPr>
          <w:sz w:val="20"/>
          <w:szCs w:val="20"/>
          <w:color w:val="auto"/>
        </w:rPr>
      </w:pPr>
    </w:p>
    <w:p>
      <w:pPr>
        <w:ind w:left="1000" w:hanging="503"/>
        <w:spacing w:after="0"/>
        <w:tabs>
          <w:tab w:leader="none" w:pos="1000" w:val="left"/>
        </w:tabs>
        <w:numPr>
          <w:ilvl w:val="0"/>
          <w:numId w:val="35"/>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you cannot get notes registered in your name if they are represented by the global note;</w:t>
      </w:r>
    </w:p>
    <w:p>
      <w:pPr>
        <w:spacing w:after="0" w:line="168" w:lineRule="exact"/>
        <w:rPr>
          <w:rFonts w:ascii="Arial" w:cs="Arial" w:eastAsia="Arial" w:hAnsi="Arial"/>
          <w:sz w:val="14"/>
          <w:szCs w:val="14"/>
          <w:b w:val="1"/>
          <w:bCs w:val="1"/>
          <w:color w:val="auto"/>
        </w:rPr>
      </w:pPr>
    </w:p>
    <w:p>
      <w:pPr>
        <w:ind w:left="1000" w:hanging="503"/>
        <w:spacing w:after="0"/>
        <w:tabs>
          <w:tab w:leader="none" w:pos="1000" w:val="left"/>
        </w:tabs>
        <w:numPr>
          <w:ilvl w:val="0"/>
          <w:numId w:val="35"/>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you cannot receive certificated (physical) notes in exchange for your beneficial interest in the global note;</w:t>
      </w:r>
    </w:p>
    <w:p>
      <w:pPr>
        <w:spacing w:after="0" w:line="168" w:lineRule="exact"/>
        <w:rPr>
          <w:rFonts w:ascii="Arial" w:cs="Arial" w:eastAsia="Arial" w:hAnsi="Arial"/>
          <w:sz w:val="14"/>
          <w:szCs w:val="14"/>
          <w:b w:val="1"/>
          <w:bCs w:val="1"/>
          <w:color w:val="auto"/>
        </w:rPr>
      </w:pPr>
    </w:p>
    <w:p>
      <w:pPr>
        <w:ind w:left="1000" w:hanging="503"/>
        <w:spacing w:after="0"/>
        <w:tabs>
          <w:tab w:leader="none" w:pos="1000" w:val="left"/>
        </w:tabs>
        <w:numPr>
          <w:ilvl w:val="0"/>
          <w:numId w:val="35"/>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you will not be considered to be the owner or holder of the global note or any note it represents for any purpose; and</w:t>
      </w:r>
    </w:p>
    <w:p>
      <w:pPr>
        <w:spacing w:after="0" w:line="168" w:lineRule="exact"/>
        <w:rPr>
          <w:rFonts w:ascii="Arial" w:cs="Arial" w:eastAsia="Arial" w:hAnsi="Arial"/>
          <w:sz w:val="14"/>
          <w:szCs w:val="14"/>
          <w:b w:val="1"/>
          <w:bCs w:val="1"/>
          <w:color w:val="auto"/>
        </w:rPr>
      </w:pPr>
    </w:p>
    <w:p>
      <w:pPr>
        <w:ind w:left="1000" w:hanging="503"/>
        <w:spacing w:after="0"/>
        <w:tabs>
          <w:tab w:leader="none" w:pos="1000" w:val="left"/>
        </w:tabs>
        <w:numPr>
          <w:ilvl w:val="0"/>
          <w:numId w:val="35"/>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all payments on the global note will be made to DTC or its nominee.</w:t>
      </w:r>
    </w:p>
    <w:p>
      <w:pPr>
        <w:spacing w:after="0" w:line="168" w:lineRule="exact"/>
        <w:rPr>
          <w:sz w:val="20"/>
          <w:szCs w:val="20"/>
          <w:color w:val="auto"/>
        </w:rPr>
      </w:pPr>
    </w:p>
    <w:p>
      <w:pPr>
        <w:ind w:right="160" w:firstLine="495"/>
        <w:spacing w:after="0" w:line="271" w:lineRule="auto"/>
        <w:rPr>
          <w:sz w:val="20"/>
          <w:szCs w:val="20"/>
          <w:color w:val="auto"/>
        </w:rPr>
      </w:pPr>
      <w:r>
        <w:rPr>
          <w:rFonts w:ascii="Times New Roman" w:cs="Times New Roman" w:eastAsia="Times New Roman" w:hAnsi="Times New Roman"/>
          <w:sz w:val="14"/>
          <w:szCs w:val="14"/>
          <w:color w:val="auto"/>
        </w:rPr>
        <w:t>The laws of some jurisdictions require that certain kinds of purchasers (for example, certain insurance companies) can only own securities in definitive (certificated) form. These laws may limit your ability to transfer your beneficial interests in the global note to these types of purchasers.</w:t>
      </w:r>
    </w:p>
    <w:p>
      <w:pPr>
        <w:spacing w:after="0" w:line="2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wp:posOffset>
            </wp:positionV>
            <wp:extent cx="7164705" cy="63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7">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40"/>
          </w:cols>
          <w:pgMar w:left="300" w:top="720" w:right="359" w:bottom="1440" w:gutter="0" w:footer="0" w:header="0"/>
        </w:sectPr>
      </w:pPr>
    </w:p>
    <w:bookmarkStart w:id="43" w:name="page44"/>
    <w:bookmarkEnd w:id="43"/>
    <w:p>
      <w:pPr>
        <w:ind w:right="180" w:firstLine="495"/>
        <w:spacing w:after="0" w:line="254" w:lineRule="auto"/>
        <w:rPr>
          <w:sz w:val="20"/>
          <w:szCs w:val="20"/>
          <w:color w:val="auto"/>
        </w:rPr>
      </w:pPr>
      <w:r>
        <w:rPr>
          <w:rFonts w:ascii="Times New Roman" w:cs="Times New Roman" w:eastAsia="Times New Roman" w:hAnsi="Times New Roman"/>
          <w:sz w:val="14"/>
          <w:szCs w:val="14"/>
          <w:color w:val="auto"/>
        </w:rPr>
        <w:t>Only institutions (such as a securities broker or dealer) that have accounts with the DTC or its nominee (called “participants”) and persons that may hold beneficial interests through participants (including through Euroclear Bank SA/NV or Clearstream Banking, société anonyme, as DTC participants) can own a beneficial interest in the global note. The only place where the ownership of beneficial interests in the global note will appear and the only way the transfer of those interests can be made will be on the records kept by DTC (for their participants’ interests) and the records kept by those participants (for interests of persons held by participants on their behalf).</w:t>
      </w:r>
    </w:p>
    <w:p>
      <w:pPr>
        <w:spacing w:after="0" w:line="143" w:lineRule="exact"/>
        <w:rPr>
          <w:sz w:val="20"/>
          <w:szCs w:val="20"/>
          <w:color w:val="auto"/>
        </w:rPr>
      </w:pPr>
    </w:p>
    <w:p>
      <w:pPr>
        <w:ind w:firstLine="495"/>
        <w:spacing w:after="0" w:line="258" w:lineRule="auto"/>
        <w:rPr>
          <w:sz w:val="20"/>
          <w:szCs w:val="20"/>
          <w:color w:val="auto"/>
        </w:rPr>
      </w:pPr>
      <w:r>
        <w:rPr>
          <w:rFonts w:ascii="Times New Roman" w:cs="Times New Roman" w:eastAsia="Times New Roman" w:hAnsi="Times New Roman"/>
          <w:sz w:val="14"/>
          <w:szCs w:val="14"/>
          <w:color w:val="auto"/>
        </w:rPr>
        <w:t>Secondary trading in bonds and notes of corporate issuers is generally settled in clearing-house (that is, next-day) funds. In contrast, beneficial interests in a global note usually trade in DTC’s same-day funds settlement system, and settle in immediately available funds. We make no representations as to the effect that settlement in immediately available funds will have on trading activity in those beneficial interests.</w:t>
      </w:r>
    </w:p>
    <w:p>
      <w:pPr>
        <w:spacing w:after="0" w:line="140" w:lineRule="exact"/>
        <w:rPr>
          <w:sz w:val="20"/>
          <w:szCs w:val="20"/>
          <w:color w:val="auto"/>
        </w:rPr>
      </w:pPr>
    </w:p>
    <w:p>
      <w:pPr>
        <w:ind w:right="40" w:firstLine="495"/>
        <w:spacing w:after="0" w:line="271" w:lineRule="auto"/>
        <w:rPr>
          <w:sz w:val="20"/>
          <w:szCs w:val="20"/>
          <w:color w:val="auto"/>
        </w:rPr>
      </w:pPr>
      <w:r>
        <w:rPr>
          <w:rFonts w:ascii="Times New Roman" w:cs="Times New Roman" w:eastAsia="Times New Roman" w:hAnsi="Times New Roman"/>
          <w:sz w:val="14"/>
          <w:szCs w:val="14"/>
          <w:color w:val="auto"/>
        </w:rPr>
        <w:t>Cash payments of interest on and principal of the global note will be made to Cede, the nominee for DTC, as the registered owner of the global note. These payments will be made by wire transfer of immediately available funds on each payment date.</w:t>
      </w:r>
    </w:p>
    <w:p>
      <w:pPr>
        <w:spacing w:after="0" w:line="131" w:lineRule="exact"/>
        <w:rPr>
          <w:sz w:val="20"/>
          <w:szCs w:val="20"/>
          <w:color w:val="auto"/>
        </w:rPr>
      </w:pPr>
    </w:p>
    <w:p>
      <w:pPr>
        <w:ind w:right="60" w:firstLine="495"/>
        <w:spacing w:after="0" w:line="271" w:lineRule="auto"/>
        <w:rPr>
          <w:sz w:val="20"/>
          <w:szCs w:val="20"/>
          <w:color w:val="auto"/>
        </w:rPr>
      </w:pPr>
      <w:r>
        <w:rPr>
          <w:rFonts w:ascii="Times New Roman" w:cs="Times New Roman" w:eastAsia="Times New Roman" w:hAnsi="Times New Roman"/>
          <w:sz w:val="14"/>
          <w:szCs w:val="14"/>
          <w:color w:val="auto"/>
        </w:rPr>
        <w:t>You may exchange or transfer the notes at the corporate trust office of the trustee for the notes or at any other office or agency maintained by us for those purposes. We will not require payment of a service charge for any transfer or exchange of the notes, but we may require payment of a sum sufficient to cover any applicable tax or other governmental charge.</w:t>
      </w:r>
    </w:p>
    <w:p>
      <w:pPr>
        <w:spacing w:after="0" w:line="131" w:lineRule="exact"/>
        <w:rPr>
          <w:sz w:val="20"/>
          <w:szCs w:val="20"/>
          <w:color w:val="auto"/>
        </w:rPr>
      </w:pPr>
    </w:p>
    <w:p>
      <w:pPr>
        <w:ind w:right="40" w:firstLine="495"/>
        <w:spacing w:after="0" w:line="254" w:lineRule="auto"/>
        <w:rPr>
          <w:sz w:val="20"/>
          <w:szCs w:val="20"/>
          <w:color w:val="auto"/>
        </w:rPr>
      </w:pPr>
      <w:r>
        <w:rPr>
          <w:rFonts w:ascii="Times New Roman" w:cs="Times New Roman" w:eastAsia="Times New Roman" w:hAnsi="Times New Roman"/>
          <w:sz w:val="14"/>
          <w:szCs w:val="14"/>
          <w:color w:val="auto"/>
        </w:rPr>
        <w:t>We have been informed that, with respect to any cash payment of interest on or principal of the global note, DTC’s practice is to credit participants’ accounts on the payment date with payments in amounts proportionate to their respective beneficial interests in the notes represented by the global note as shown on DTC’s records, unless DTC has reason to believe that it will not receive payment on that payment date. Payments by participants to owners of beneficial interests in notes represented by the global note held through participants will be the responsibility of those participants, as is now the case with securities held for the accounts of customers registered in “street name.”</w:t>
      </w:r>
    </w:p>
    <w:p>
      <w:pPr>
        <w:spacing w:after="0" w:line="143" w:lineRule="exact"/>
        <w:rPr>
          <w:sz w:val="20"/>
          <w:szCs w:val="20"/>
          <w:color w:val="auto"/>
        </w:rPr>
      </w:pPr>
    </w:p>
    <w:p>
      <w:pPr>
        <w:ind w:right="180" w:firstLine="495"/>
        <w:spacing w:after="0" w:line="258" w:lineRule="auto"/>
        <w:rPr>
          <w:sz w:val="20"/>
          <w:szCs w:val="20"/>
          <w:color w:val="auto"/>
        </w:rPr>
      </w:pPr>
      <w:r>
        <w:rPr>
          <w:rFonts w:ascii="Times New Roman" w:cs="Times New Roman" w:eastAsia="Times New Roman" w:hAnsi="Times New Roman"/>
          <w:sz w:val="14"/>
          <w:szCs w:val="14"/>
          <w:color w:val="auto"/>
        </w:rPr>
        <w:t>We also understand that neither DTC nor Cede will consent or vote with respect to the notes. We have been advised that under its usual procedures, DTC will mail an “omnibus proxy” to us as soon as possible after the record date. The omnibus proxy assigns Cede’s consenting or voting rights to those participants to whose accounts the notes are credited on the record date identified in a listing attached to the omnibus proxy.</w:t>
      </w:r>
    </w:p>
    <w:p>
      <w:pPr>
        <w:spacing w:after="0" w:line="140" w:lineRule="exact"/>
        <w:rPr>
          <w:sz w:val="20"/>
          <w:szCs w:val="20"/>
          <w:color w:val="auto"/>
        </w:rPr>
      </w:pPr>
    </w:p>
    <w:p>
      <w:pPr>
        <w:ind w:right="80" w:firstLine="495"/>
        <w:spacing w:after="0" w:line="258" w:lineRule="auto"/>
        <w:rPr>
          <w:sz w:val="20"/>
          <w:szCs w:val="20"/>
          <w:color w:val="auto"/>
        </w:rPr>
      </w:pPr>
      <w:r>
        <w:rPr>
          <w:rFonts w:ascii="Times New Roman" w:cs="Times New Roman" w:eastAsia="Times New Roman" w:hAnsi="Times New Roman"/>
          <w:sz w:val="14"/>
          <w:szCs w:val="14"/>
          <w:color w:val="auto"/>
        </w:rPr>
        <w:t>Because DTC can only act on behalf of participants, who in turn act on behalf of indirect participants, the ability of a person having a beneficial interest in the principal amount represented by the global note to pledge the interest to persons or entities that do not participate in the DTC book-entry system, or otherwise take actions in respect of that interest, may be affected by the lack of a physical certificate evidencing its interest.</w:t>
      </w:r>
    </w:p>
    <w:p>
      <w:pPr>
        <w:spacing w:after="0" w:line="140" w:lineRule="exact"/>
        <w:rPr>
          <w:sz w:val="20"/>
          <w:szCs w:val="20"/>
          <w:color w:val="auto"/>
        </w:rPr>
      </w:pPr>
    </w:p>
    <w:p>
      <w:pPr>
        <w:ind w:right="100" w:firstLine="495"/>
        <w:spacing w:after="0" w:line="258" w:lineRule="auto"/>
        <w:rPr>
          <w:sz w:val="20"/>
          <w:szCs w:val="20"/>
          <w:color w:val="auto"/>
        </w:rPr>
      </w:pPr>
      <w:r>
        <w:rPr>
          <w:rFonts w:ascii="Times New Roman" w:cs="Times New Roman" w:eastAsia="Times New Roman" w:hAnsi="Times New Roman"/>
          <w:sz w:val="14"/>
          <w:szCs w:val="14"/>
          <w:color w:val="auto"/>
        </w:rPr>
        <w:t>DTC has advised that it will take any action permitted to be taken by a holder of notes (including the presentation of notes for exchange) only at the direction of one or more participants to whose account with DTC interests in the global note are credited and only in respect of such portion of the principal amount of the notes represented by the global note as to which such participant has, or participants have, given such direction.</w:t>
      </w:r>
    </w:p>
    <w:p>
      <w:pPr>
        <w:spacing w:after="0" w:line="140" w:lineRule="exact"/>
        <w:rPr>
          <w:sz w:val="20"/>
          <w:szCs w:val="20"/>
          <w:color w:val="auto"/>
        </w:rPr>
      </w:pPr>
    </w:p>
    <w:p>
      <w:pPr>
        <w:ind w:right="60" w:firstLine="495"/>
        <w:spacing w:after="0" w:line="273" w:lineRule="auto"/>
        <w:rPr>
          <w:sz w:val="20"/>
          <w:szCs w:val="20"/>
          <w:color w:val="auto"/>
        </w:rPr>
      </w:pPr>
      <w:r>
        <w:rPr>
          <w:rFonts w:ascii="Times New Roman" w:cs="Times New Roman" w:eastAsia="Times New Roman" w:hAnsi="Times New Roman"/>
          <w:sz w:val="13"/>
          <w:szCs w:val="13"/>
          <w:color w:val="auto"/>
        </w:rPr>
        <w:t>DTC has also advised as follows: DTC is a limited purpose trust company organized under the laws of the State of New York, a “banking organization” within the meaning of the New York Banking Law, a member of the Federal Reserve, a “clearing corporation” within the meaning of the Uniform Commercial Code, as amended, and a “clearing agency” registered pursuant to the provisions of Section 17A of the Exchange Act. DTC was created to hold securities for its participants and facilitate the clearance and settlement of securities transactions between participants through electronic book-entry changes in accounts of its participants. Participants include securities brokers and dealers, banks, trust companies and clearing corporations and may include certain other organizations. Certain of such participants (or their representatives), together with other entities, own DTC. Indirect access to the DTC system is available to other entities such as banks, brokers, dealers and trust companies that clear through or maintain a custodial relationship with a participant, either directly or indirectly. The rules applicable to DTC and its direct and indirect participants are on file with the SEC.</w:t>
      </w:r>
    </w:p>
    <w:p>
      <w:pPr>
        <w:spacing w:after="0" w:line="134" w:lineRule="exact"/>
        <w:rPr>
          <w:sz w:val="20"/>
          <w:szCs w:val="20"/>
          <w:color w:val="auto"/>
        </w:rPr>
      </w:pPr>
    </w:p>
    <w:p>
      <w:pPr>
        <w:jc w:val="both"/>
        <w:ind w:right="120" w:firstLine="495"/>
        <w:spacing w:after="0" w:line="258" w:lineRule="auto"/>
        <w:rPr>
          <w:sz w:val="20"/>
          <w:szCs w:val="20"/>
          <w:color w:val="auto"/>
        </w:rPr>
      </w:pPr>
      <w:r>
        <w:rPr>
          <w:rFonts w:ascii="Times New Roman" w:cs="Times New Roman" w:eastAsia="Times New Roman" w:hAnsi="Times New Roman"/>
          <w:sz w:val="14"/>
          <w:szCs w:val="14"/>
          <w:color w:val="auto"/>
        </w:rPr>
        <w:t>The policies and procedures of DTC, which may change periodically, will apply to payments, transfers, exchanges and other matters relating to beneficial interests in the global note. We and the trustee have no responsibility or liability for any aspect of DTC’s or any participants’ records relating to beneficial interests in the global note, including for payments made on the global note, and we and the trustee are not responsible for maintaining, supervising or reviewing any of those records.</w:t>
      </w: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wp:posOffset>
            </wp:positionV>
            <wp:extent cx="7164705" cy="63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8">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724" w:right="3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color w:val="auto"/>
        </w:rPr>
        <w:t>Indenture Covenants</w:t>
      </w:r>
    </w:p>
    <w:p>
      <w:pPr>
        <w:spacing w:after="0" w:line="173" w:lineRule="exact"/>
        <w:rPr>
          <w:sz w:val="20"/>
          <w:szCs w:val="20"/>
          <w:color w:val="auto"/>
        </w:rPr>
      </w:pPr>
    </w:p>
    <w:p>
      <w:pPr>
        <w:ind w:firstLine="495"/>
        <w:spacing w:after="0" w:line="249" w:lineRule="auto"/>
        <w:rPr>
          <w:sz w:val="20"/>
          <w:szCs w:val="20"/>
          <w:color w:val="auto"/>
        </w:rPr>
      </w:pPr>
      <w:r>
        <w:rPr>
          <w:rFonts w:ascii="Times New Roman" w:cs="Times New Roman" w:eastAsia="Times New Roman" w:hAnsi="Times New Roman"/>
          <w:sz w:val="14"/>
          <w:szCs w:val="14"/>
          <w:color w:val="auto"/>
        </w:rPr>
        <w:t>The indenture contains no covenants or restrictions restricting the incurrence of indebtedness or other obligations by us or by a subsidiary of ours, including the Bank. The indenture contains no financial covenants requiring us to achieve or maintain any minimum financial results relating to our financial position or results of operations or meet or exceed any financial ratios as a general matter or in order to incur additional indebtedness or obligations or to maintain any reserves. Moreover, neither the indenture nor the notes contain any covenants limiting our right to incur additional indebtedness or obligations, grant liens on our assets to secure our indebtedness or other obligations that are senior in right of payment to the notes, repurchase our stock or other securities, including any of the notes, or pay dividends or make other distributions to our shareholders (except, subject to certain limited exceptions, in the case of dividends or other distributions; redemptions, purchases, acquisitions or liquidation payments with respect to our capital stock; and repayments, repurchases or redemptions of any debt securities that rank equal with or junior to the notes, in each case, upon our failure to timely pay the principal of or interest on the notes, when the same becomes due and payable). In addition, neither the indenture nor the notes contain any provision that would provide protection to the holders of the notes against a sudden and dramatic decline in our credit quality resulting from a merger, takeover, recapitalization or similar restructuring or any other event involving us or our subsidiaries that may adversely affect our credit quality.</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Events of Default; Right of Acceleration; Failure to Pay Principal or Interest</w:t>
      </w:r>
    </w:p>
    <w:p>
      <w:pPr>
        <w:spacing w:after="0" w:line="17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The following are events of default under the indenture:</w:t>
      </w:r>
    </w:p>
    <w:p>
      <w:pPr>
        <w:spacing w:after="0" w:line="169" w:lineRule="exact"/>
        <w:rPr>
          <w:sz w:val="20"/>
          <w:szCs w:val="20"/>
          <w:color w:val="auto"/>
        </w:rPr>
      </w:pPr>
    </w:p>
    <w:p>
      <w:pPr>
        <w:ind w:left="1000" w:right="40" w:hanging="503"/>
        <w:spacing w:after="0" w:line="250" w:lineRule="auto"/>
        <w:tabs>
          <w:tab w:leader="none" w:pos="1000" w:val="left"/>
        </w:tabs>
        <w:numPr>
          <w:ilvl w:val="0"/>
          <w:numId w:val="36"/>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the entry by a court having jurisdiction in the premises of (i) a decree or order for relief in respect of the Company in an involuntary case or proceeding under any applicable federal or state bankruptcy, insolvency, reorganization or other similar law or (ii) a decree or order adjudging the Company bankrupt or insolvent, or approving as properly filed a petition seeking reorganization, arrangement, adjustment or composition of or in respect of the Company under any applicable federal or state law, or appointing a custodian, receiver, liquidator, assignee, trustee, sequestrator or other similar official of the Company or of any substantial part of its property, or ordering the winding up or liquidation of its affairs, and, in the case of the immediately preceding clauses (i) and (ii), the continuance of any such decree or order for relief or any such other decree or order unstayed and in effect for a period of sixty (60) consecutive days;</w:t>
      </w:r>
    </w:p>
    <w:p>
      <w:pPr>
        <w:spacing w:after="0" w:line="147" w:lineRule="exact"/>
        <w:rPr>
          <w:rFonts w:ascii="Arial" w:cs="Arial" w:eastAsia="Arial" w:hAnsi="Arial"/>
          <w:sz w:val="14"/>
          <w:szCs w:val="14"/>
          <w:b w:val="1"/>
          <w:bCs w:val="1"/>
          <w:color w:val="auto"/>
        </w:rPr>
      </w:pPr>
    </w:p>
    <w:p>
      <w:pPr>
        <w:ind w:left="1000" w:right="40" w:hanging="503"/>
        <w:spacing w:after="0" w:line="272" w:lineRule="auto"/>
        <w:tabs>
          <w:tab w:leader="none" w:pos="1000" w:val="left"/>
        </w:tabs>
        <w:numPr>
          <w:ilvl w:val="0"/>
          <w:numId w:val="36"/>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the commencement by the Company of a voluntary case or proceeding under any applicable federal or state bankruptcy, insolvency, reorganization or other similar law or of any other case or proceeding to be adjudicated a bankrupt or insolvent, or the consent by it to the entry of a decree or order for relief in respect of the Company in an involuntary case or proceeding under any applicable federal or state bankruptcy, insolvency, reorganization or other similar law or to the commencement of any bankruptcy or insolvency case or proceeding against it, or the filing by it of a petition or answer or consent seeking reorganization or relief under any applicable federal or state bankruptcy, insolvency, reorganization or other similar law or to the commencement of any bankruptcy or insolvency case or proceeding against it, or the filing by it of a petition or answer or consent seeking reorganization or relief under any applicable federal or state law, or the consent by it to the filing of such petition or to the appointment of or taking possession by a custodian, receiver, liquidator, assignee, trustee, sequestrator or similar official of the Company or of any substantial part of its property or the taking of corporate action by the Company in furtherance of any such action;</w:t>
      </w:r>
    </w:p>
    <w:p>
      <w:pPr>
        <w:spacing w:after="0" w:line="132" w:lineRule="exact"/>
        <w:rPr>
          <w:rFonts w:ascii="Arial" w:cs="Arial" w:eastAsia="Arial" w:hAnsi="Arial"/>
          <w:sz w:val="13"/>
          <w:szCs w:val="13"/>
          <w:b w:val="1"/>
          <w:bCs w:val="1"/>
          <w:color w:val="auto"/>
        </w:rPr>
      </w:pPr>
    </w:p>
    <w:p>
      <w:pPr>
        <w:ind w:left="1000" w:right="60" w:hanging="503"/>
        <w:spacing w:after="0" w:line="258" w:lineRule="auto"/>
        <w:tabs>
          <w:tab w:leader="none" w:pos="1000" w:val="left"/>
        </w:tabs>
        <w:numPr>
          <w:ilvl w:val="0"/>
          <w:numId w:val="36"/>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(i) the appointment by a competent government agency having primary regulatory authority over any Major Constituent Bank, as defined in the indenture, under any applicable federal or state banking, insolvency or similar law now or hereafter in effect of a receiver of any such Major Constituent Bank or (ii) the entry of a decree or order in any case or proceeding under any applicable federal or state banking, insolvency or other similar law now or hereafter in effect appointing any receiver of any Major Constituent Bank;</w:t>
      </w: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wp:posOffset>
            </wp:positionV>
            <wp:extent cx="7164705" cy="63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9">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720" w:right="319" w:bottom="1440" w:gutter="0" w:footer="0" w:header="0"/>
        </w:sectPr>
      </w:pPr>
    </w:p>
    <w:bookmarkStart w:id="45" w:name="page46"/>
    <w:bookmarkEnd w:id="45"/>
    <w:p>
      <w:pPr>
        <w:ind w:left="1000" w:right="180" w:hanging="503"/>
        <w:spacing w:after="0" w:line="270" w:lineRule="auto"/>
        <w:tabs>
          <w:tab w:leader="none" w:pos="1000" w:val="left"/>
        </w:tabs>
        <w:numPr>
          <w:ilvl w:val="0"/>
          <w:numId w:val="37"/>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the failure of the Company to pay any installment of interest on any of the notes as and when the same will become due and payable, and the continuation of such failure for a period of thirty (30) days;</w:t>
      </w:r>
    </w:p>
    <w:p>
      <w:pPr>
        <w:spacing w:after="0" w:line="131" w:lineRule="exact"/>
        <w:rPr>
          <w:rFonts w:ascii="Arial" w:cs="Arial" w:eastAsia="Arial" w:hAnsi="Arial"/>
          <w:sz w:val="14"/>
          <w:szCs w:val="14"/>
          <w:b w:val="1"/>
          <w:bCs w:val="1"/>
          <w:color w:val="auto"/>
        </w:rPr>
      </w:pPr>
    </w:p>
    <w:p>
      <w:pPr>
        <w:ind w:left="1000" w:hanging="503"/>
        <w:spacing w:after="0"/>
        <w:tabs>
          <w:tab w:leader="none" w:pos="1000" w:val="left"/>
        </w:tabs>
        <w:numPr>
          <w:ilvl w:val="0"/>
          <w:numId w:val="37"/>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the failure of the Company to pay all or any part of the principal of any of the notes as and when the same will become due and payable;</w:t>
      </w:r>
    </w:p>
    <w:p>
      <w:pPr>
        <w:spacing w:after="0" w:line="168" w:lineRule="exact"/>
        <w:rPr>
          <w:rFonts w:ascii="Arial" w:cs="Arial" w:eastAsia="Arial" w:hAnsi="Arial"/>
          <w:sz w:val="14"/>
          <w:szCs w:val="14"/>
          <w:b w:val="1"/>
          <w:bCs w:val="1"/>
          <w:color w:val="auto"/>
        </w:rPr>
      </w:pPr>
    </w:p>
    <w:p>
      <w:pPr>
        <w:ind w:left="1000" w:right="220" w:hanging="503"/>
        <w:spacing w:after="0" w:line="270" w:lineRule="auto"/>
        <w:tabs>
          <w:tab w:leader="none" w:pos="1000" w:val="left"/>
        </w:tabs>
        <w:numPr>
          <w:ilvl w:val="0"/>
          <w:numId w:val="37"/>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the failure of the Company to perform any other covenant or agreement on the part of the Company contained in the notes or in the indenture, and the continuation of such failure for a period of sixty (60) days after written notice as provided for in the indenture; or</w:t>
      </w:r>
    </w:p>
    <w:p>
      <w:pPr>
        <w:spacing w:after="0" w:line="131" w:lineRule="exact"/>
        <w:rPr>
          <w:rFonts w:ascii="Arial" w:cs="Arial" w:eastAsia="Arial" w:hAnsi="Arial"/>
          <w:sz w:val="14"/>
          <w:szCs w:val="14"/>
          <w:b w:val="1"/>
          <w:bCs w:val="1"/>
          <w:color w:val="auto"/>
        </w:rPr>
      </w:pPr>
    </w:p>
    <w:p>
      <w:pPr>
        <w:ind w:left="1000" w:hanging="503"/>
        <w:spacing w:after="0" w:line="252" w:lineRule="auto"/>
        <w:tabs>
          <w:tab w:leader="none" w:pos="1000" w:val="left"/>
        </w:tabs>
        <w:numPr>
          <w:ilvl w:val="0"/>
          <w:numId w:val="37"/>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the default by the Company under any bond, debenture, note or other evidence of indebtedness for money borrowed by the Company having an aggregate principal amount outstanding of at least $40,000,000, whether such indebtedness now exists or is created or incurred in the future, which default (i) constitutes a failure to pay any portion of the principal of such indebtedness when due and payable after the expiration of any applicable grace period or (ii) results in such indebtedness becoming due or being declared due and payable prior to the date on which it otherwise would have become due and payable without, in the case of clause (i), such indebtedness having been discharged or, in the case of clause (ii), without such indebtedness having been discharged or such acceleration having been rescinded or annulled.</w:t>
      </w:r>
    </w:p>
    <w:p>
      <w:pPr>
        <w:spacing w:after="0" w:line="143" w:lineRule="exact"/>
        <w:rPr>
          <w:sz w:val="20"/>
          <w:szCs w:val="20"/>
          <w:color w:val="auto"/>
        </w:rPr>
      </w:pPr>
    </w:p>
    <w:p>
      <w:pPr>
        <w:ind w:right="120" w:firstLine="495"/>
        <w:spacing w:after="0" w:line="258" w:lineRule="auto"/>
        <w:rPr>
          <w:sz w:val="20"/>
          <w:szCs w:val="20"/>
          <w:color w:val="auto"/>
        </w:rPr>
      </w:pPr>
      <w:r>
        <w:rPr>
          <w:rFonts w:ascii="Times New Roman" w:cs="Times New Roman" w:eastAsia="Times New Roman" w:hAnsi="Times New Roman"/>
          <w:sz w:val="14"/>
          <w:szCs w:val="14"/>
          <w:color w:val="auto"/>
        </w:rPr>
        <w:t>If an event of default with respect to the notes occurs due to a bankruptcy event, the principal of the notes and all accrued and unpaid interest thereon, if any, will be immediately due and payable without any declaration or other act on the part of the trustee or any holder of the notes. If an event of default with respect to the notes occurs due to any reason other than a bankruptcy event, neither the trustee nor any holder may accelerate the stated maturity of the notes.</w:t>
      </w:r>
    </w:p>
    <w:p>
      <w:pPr>
        <w:spacing w:after="0" w:line="140" w:lineRule="exact"/>
        <w:rPr>
          <w:sz w:val="20"/>
          <w:szCs w:val="20"/>
          <w:color w:val="auto"/>
        </w:rPr>
      </w:pPr>
    </w:p>
    <w:p>
      <w:pPr>
        <w:ind w:right="80" w:firstLine="495"/>
        <w:spacing w:after="0" w:line="258" w:lineRule="auto"/>
        <w:rPr>
          <w:sz w:val="20"/>
          <w:szCs w:val="20"/>
          <w:color w:val="auto"/>
        </w:rPr>
      </w:pPr>
      <w:r>
        <w:rPr>
          <w:rFonts w:ascii="Times New Roman" w:cs="Times New Roman" w:eastAsia="Times New Roman" w:hAnsi="Times New Roman"/>
          <w:sz w:val="14"/>
          <w:szCs w:val="14"/>
          <w:color w:val="auto"/>
        </w:rPr>
        <w:t>The indenture provides for the acceleration of the unpaid principal and interest on the notes only in limited circumstances related to our involuntary or voluntary bankruptcy under bankruptcy, insolvency or reorganization laws of the United States or any political subdivision thereof. Accordingly, if an event of default occurs and is continuing related to our bankruptcy, the principal amount of all notes, and accrued and unpaid interest, if any, will be due and payable immediately.</w:t>
      </w:r>
    </w:p>
    <w:p>
      <w:pPr>
        <w:spacing w:after="0" w:line="140" w:lineRule="exact"/>
        <w:rPr>
          <w:sz w:val="20"/>
          <w:szCs w:val="20"/>
          <w:color w:val="auto"/>
        </w:rPr>
      </w:pPr>
    </w:p>
    <w:p>
      <w:pPr>
        <w:ind w:right="100" w:firstLine="495"/>
        <w:spacing w:after="0" w:line="276" w:lineRule="auto"/>
        <w:rPr>
          <w:sz w:val="20"/>
          <w:szCs w:val="20"/>
          <w:color w:val="auto"/>
        </w:rPr>
      </w:pPr>
      <w:r>
        <w:rPr>
          <w:rFonts w:ascii="Times New Roman" w:cs="Times New Roman" w:eastAsia="Times New Roman" w:hAnsi="Times New Roman"/>
          <w:sz w:val="13"/>
          <w:szCs w:val="13"/>
          <w:color w:val="auto"/>
        </w:rPr>
        <w:t xml:space="preserve">Under the indenture, if we fail to make any payment of interest on any note when such interest becomes due and payable and such default continues for a period of thirty (30) days, or if we fail to make any payment of the principal of any note when such principal becomes due and payable, the trustee may, subject to certain limitations and conditions, seek to enforce its rights and the rights of the holders of notes to regularly scheduled payments of interest and of principal at the scheduled maturity of the notes. Any such rights to receive payment of such amounts under the notes remain subject to the subordination provisions of the notes as discussed above under the section entitled “— </w:t>
      </w:r>
      <w:r>
        <w:rPr>
          <w:rFonts w:ascii="Times New Roman" w:cs="Times New Roman" w:eastAsia="Times New Roman" w:hAnsi="Times New Roman"/>
          <w:sz w:val="13"/>
          <w:szCs w:val="13"/>
          <w:i w:val="1"/>
          <w:iCs w:val="1"/>
          <w:color w:val="auto"/>
        </w:rPr>
        <w:t>Subordination</w:t>
      </w:r>
      <w:r>
        <w:rPr>
          <w:rFonts w:ascii="Times New Roman" w:cs="Times New Roman" w:eastAsia="Times New Roman" w:hAnsi="Times New Roman"/>
          <w:sz w:val="13"/>
          <w:szCs w:val="13"/>
          <w:color w:val="auto"/>
        </w:rPr>
        <w:t>” beginning on page 36. Neither the trustee nor the holders of the notes will have the right to accelerate the maturity of the notes in the case of our failure to pay the principal of, or interest on, the notes or our non-performance of any other covenant or warranty under the notes or the indenture.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Amendment, Supplement and Waiver</w:t>
      </w:r>
    </w:p>
    <w:p>
      <w:pPr>
        <w:spacing w:after="0" w:line="173" w:lineRule="exact"/>
        <w:rPr>
          <w:sz w:val="20"/>
          <w:szCs w:val="20"/>
          <w:color w:val="auto"/>
        </w:rPr>
      </w:pPr>
    </w:p>
    <w:p>
      <w:pPr>
        <w:ind w:right="300" w:firstLine="495"/>
        <w:spacing w:after="0" w:line="271" w:lineRule="auto"/>
        <w:rPr>
          <w:sz w:val="20"/>
          <w:szCs w:val="20"/>
          <w:color w:val="auto"/>
        </w:rPr>
      </w:pPr>
      <w:r>
        <w:rPr>
          <w:rFonts w:ascii="Times New Roman" w:cs="Times New Roman" w:eastAsia="Times New Roman" w:hAnsi="Times New Roman"/>
          <w:sz w:val="14"/>
          <w:szCs w:val="14"/>
          <w:color w:val="auto"/>
        </w:rPr>
        <w:t>Without the consent of any holder of notes, we and the trustee, at any time and from time to time, may enter into one or more indentures supplemental to the indenture for any of the following purposes:</w:t>
      </w:r>
    </w:p>
    <w:p>
      <w:pPr>
        <w:spacing w:after="0" w:line="131" w:lineRule="exact"/>
        <w:rPr>
          <w:sz w:val="20"/>
          <w:szCs w:val="20"/>
          <w:color w:val="auto"/>
        </w:rPr>
      </w:pPr>
    </w:p>
    <w:p>
      <w:pPr>
        <w:ind w:left="1000" w:hanging="503"/>
        <w:spacing w:after="0"/>
        <w:tabs>
          <w:tab w:leader="none" w:pos="1000" w:val="left"/>
        </w:tabs>
        <w:numPr>
          <w:ilvl w:val="0"/>
          <w:numId w:val="38"/>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to evidence a successor to our organization, and the assumption by any such successor of our covenants contained in the indenture and the notes;</w:t>
      </w:r>
    </w:p>
    <w:p>
      <w:pPr>
        <w:spacing w:after="0" w:line="168" w:lineRule="exact"/>
        <w:rPr>
          <w:rFonts w:ascii="Arial" w:cs="Arial" w:eastAsia="Arial" w:hAnsi="Arial"/>
          <w:sz w:val="14"/>
          <w:szCs w:val="14"/>
          <w:b w:val="1"/>
          <w:bCs w:val="1"/>
          <w:color w:val="auto"/>
        </w:rPr>
      </w:pPr>
    </w:p>
    <w:p>
      <w:pPr>
        <w:ind w:left="1000" w:hanging="503"/>
        <w:spacing w:after="0"/>
        <w:tabs>
          <w:tab w:leader="none" w:pos="1000" w:val="left"/>
        </w:tabs>
        <w:numPr>
          <w:ilvl w:val="0"/>
          <w:numId w:val="38"/>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to add to our covenants for the benefit of the holders, or to surrender any right or power conferred upon us with respect to the notes;</w:t>
      </w:r>
    </w:p>
    <w:p>
      <w:pPr>
        <w:spacing w:after="0" w:line="168" w:lineRule="exact"/>
        <w:rPr>
          <w:rFonts w:ascii="Arial" w:cs="Arial" w:eastAsia="Arial" w:hAnsi="Arial"/>
          <w:sz w:val="14"/>
          <w:szCs w:val="14"/>
          <w:b w:val="1"/>
          <w:bCs w:val="1"/>
          <w:color w:val="auto"/>
        </w:rPr>
      </w:pPr>
    </w:p>
    <w:p>
      <w:pPr>
        <w:ind w:left="1000" w:hanging="503"/>
        <w:spacing w:after="0"/>
        <w:tabs>
          <w:tab w:leader="none" w:pos="1000" w:val="left"/>
        </w:tabs>
        <w:numPr>
          <w:ilvl w:val="0"/>
          <w:numId w:val="38"/>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to permit or facilitate the issuance of notes in uncertificated or global form, as long as any such action will not adversely affect the interests of the holders;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wp:posOffset>
            </wp:positionV>
            <wp:extent cx="7164705" cy="63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0">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724" w:right="319" w:bottom="1440" w:gutter="0" w:footer="0" w:header="0"/>
        </w:sectPr>
      </w:pPr>
    </w:p>
    <w:bookmarkStart w:id="46" w:name="page47"/>
    <w:bookmarkEnd w:id="46"/>
    <w:p>
      <w:pPr>
        <w:ind w:left="1000" w:hanging="503"/>
        <w:spacing w:after="0" w:line="270" w:lineRule="auto"/>
        <w:tabs>
          <w:tab w:leader="none" w:pos="1000" w:val="left"/>
        </w:tabs>
        <w:numPr>
          <w:ilvl w:val="0"/>
          <w:numId w:val="39"/>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to evidence and provide for the acceptance of appointment under the indenture by a successor trustee and to add to or change any provisions of the indenture to provide for or facilitate the administration of the trusts hereunder by more than one trustee;</w:t>
      </w:r>
    </w:p>
    <w:p>
      <w:pPr>
        <w:spacing w:after="0" w:line="131" w:lineRule="exact"/>
        <w:rPr>
          <w:rFonts w:ascii="Arial" w:cs="Arial" w:eastAsia="Arial" w:hAnsi="Arial"/>
          <w:sz w:val="14"/>
          <w:szCs w:val="14"/>
          <w:b w:val="1"/>
          <w:bCs w:val="1"/>
          <w:color w:val="auto"/>
        </w:rPr>
      </w:pPr>
    </w:p>
    <w:p>
      <w:pPr>
        <w:ind w:left="1000" w:hanging="503"/>
        <w:spacing w:after="0"/>
        <w:tabs>
          <w:tab w:leader="none" w:pos="1000" w:val="left"/>
        </w:tabs>
        <w:numPr>
          <w:ilvl w:val="0"/>
          <w:numId w:val="39"/>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to cure any ambiguity or to correct or supplement any provision in the indenture that may be defective or that may be inconsistent with any other provision;</w:t>
      </w:r>
    </w:p>
    <w:p>
      <w:pPr>
        <w:spacing w:after="0" w:line="168" w:lineRule="exact"/>
        <w:rPr>
          <w:rFonts w:ascii="Arial" w:cs="Arial" w:eastAsia="Arial" w:hAnsi="Arial"/>
          <w:sz w:val="14"/>
          <w:szCs w:val="14"/>
          <w:b w:val="1"/>
          <w:bCs w:val="1"/>
          <w:color w:val="auto"/>
        </w:rPr>
      </w:pPr>
    </w:p>
    <w:p>
      <w:pPr>
        <w:ind w:left="1000" w:hanging="503"/>
        <w:spacing w:after="0"/>
        <w:tabs>
          <w:tab w:leader="none" w:pos="1000" w:val="left"/>
        </w:tabs>
        <w:numPr>
          <w:ilvl w:val="0"/>
          <w:numId w:val="39"/>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to make any other provisions with respect to matters or questions arising under the indenture that will not adversely affect the interests of the holders of the notes;</w:t>
      </w:r>
    </w:p>
    <w:p>
      <w:pPr>
        <w:spacing w:after="0" w:line="168" w:lineRule="exact"/>
        <w:rPr>
          <w:rFonts w:ascii="Arial" w:cs="Arial" w:eastAsia="Arial" w:hAnsi="Arial"/>
          <w:sz w:val="14"/>
          <w:szCs w:val="14"/>
          <w:b w:val="1"/>
          <w:bCs w:val="1"/>
          <w:color w:val="auto"/>
        </w:rPr>
      </w:pPr>
    </w:p>
    <w:p>
      <w:pPr>
        <w:ind w:left="1000" w:hanging="503"/>
        <w:spacing w:after="0"/>
        <w:tabs>
          <w:tab w:leader="none" w:pos="1000" w:val="left"/>
        </w:tabs>
        <w:numPr>
          <w:ilvl w:val="0"/>
          <w:numId w:val="39"/>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to add any additional events of default (as will be specified in such supplemental indenture);</w:t>
      </w:r>
    </w:p>
    <w:p>
      <w:pPr>
        <w:spacing w:after="0" w:line="168" w:lineRule="exact"/>
        <w:rPr>
          <w:rFonts w:ascii="Arial" w:cs="Arial" w:eastAsia="Arial" w:hAnsi="Arial"/>
          <w:sz w:val="14"/>
          <w:szCs w:val="14"/>
          <w:b w:val="1"/>
          <w:bCs w:val="1"/>
          <w:color w:val="auto"/>
        </w:rPr>
      </w:pPr>
    </w:p>
    <w:p>
      <w:pPr>
        <w:ind w:left="1000" w:right="60" w:hanging="503"/>
        <w:spacing w:after="0" w:line="270" w:lineRule="auto"/>
        <w:tabs>
          <w:tab w:leader="none" w:pos="1000" w:val="left"/>
        </w:tabs>
        <w:numPr>
          <w:ilvl w:val="0"/>
          <w:numId w:val="39"/>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to supplement any of the provisions of the indenture as necessary to permit or facilitate legal or covenant defeasance, or satisfaction and discharge of the notes, as long as any such action will not adversely affect the interests of any holder;</w:t>
      </w:r>
    </w:p>
    <w:p>
      <w:pPr>
        <w:spacing w:after="0" w:line="131" w:lineRule="exact"/>
        <w:rPr>
          <w:rFonts w:ascii="Arial" w:cs="Arial" w:eastAsia="Arial" w:hAnsi="Arial"/>
          <w:sz w:val="14"/>
          <w:szCs w:val="14"/>
          <w:b w:val="1"/>
          <w:bCs w:val="1"/>
          <w:color w:val="auto"/>
        </w:rPr>
      </w:pPr>
    </w:p>
    <w:p>
      <w:pPr>
        <w:ind w:left="1000" w:hanging="503"/>
        <w:spacing w:after="0"/>
        <w:tabs>
          <w:tab w:leader="none" w:pos="1000" w:val="left"/>
        </w:tabs>
        <w:numPr>
          <w:ilvl w:val="0"/>
          <w:numId w:val="39"/>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to provide for the issuance of the New Notes in connection with this exchange offer;</w:t>
      </w:r>
    </w:p>
    <w:p>
      <w:pPr>
        <w:spacing w:after="0" w:line="168" w:lineRule="exact"/>
        <w:rPr>
          <w:rFonts w:ascii="Arial" w:cs="Arial" w:eastAsia="Arial" w:hAnsi="Arial"/>
          <w:sz w:val="14"/>
          <w:szCs w:val="14"/>
          <w:b w:val="1"/>
          <w:bCs w:val="1"/>
          <w:color w:val="auto"/>
        </w:rPr>
      </w:pPr>
    </w:p>
    <w:p>
      <w:pPr>
        <w:ind w:left="1000" w:hanging="503"/>
        <w:spacing w:after="0"/>
        <w:tabs>
          <w:tab w:leader="none" w:pos="1000" w:val="left"/>
        </w:tabs>
        <w:numPr>
          <w:ilvl w:val="0"/>
          <w:numId w:val="39"/>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to conform any provision of the indenture to the requirements of the Trust Indenture Act; or</w:t>
      </w:r>
    </w:p>
    <w:p>
      <w:pPr>
        <w:spacing w:after="0" w:line="168" w:lineRule="exact"/>
        <w:rPr>
          <w:rFonts w:ascii="Arial" w:cs="Arial" w:eastAsia="Arial" w:hAnsi="Arial"/>
          <w:sz w:val="14"/>
          <w:szCs w:val="14"/>
          <w:b w:val="1"/>
          <w:bCs w:val="1"/>
          <w:color w:val="auto"/>
        </w:rPr>
      </w:pPr>
    </w:p>
    <w:p>
      <w:pPr>
        <w:ind w:left="1000" w:hanging="503"/>
        <w:spacing w:after="0"/>
        <w:tabs>
          <w:tab w:leader="none" w:pos="1000" w:val="left"/>
        </w:tabs>
        <w:numPr>
          <w:ilvl w:val="0"/>
          <w:numId w:val="39"/>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to make any change that does not adversely affect the legal rights under the indenture of any holder.</w:t>
      </w:r>
    </w:p>
    <w:p>
      <w:pPr>
        <w:spacing w:after="0" w:line="168" w:lineRule="exact"/>
        <w:rPr>
          <w:sz w:val="20"/>
          <w:szCs w:val="20"/>
          <w:color w:val="auto"/>
        </w:rPr>
      </w:pPr>
    </w:p>
    <w:p>
      <w:pPr>
        <w:jc w:val="both"/>
        <w:ind w:right="60" w:firstLine="495"/>
        <w:spacing w:after="0" w:line="258" w:lineRule="auto"/>
        <w:rPr>
          <w:sz w:val="20"/>
          <w:szCs w:val="20"/>
          <w:color w:val="auto"/>
        </w:rPr>
      </w:pPr>
      <w:r>
        <w:rPr>
          <w:rFonts w:ascii="Times New Roman" w:cs="Times New Roman" w:eastAsia="Times New Roman" w:hAnsi="Times New Roman"/>
          <w:sz w:val="14"/>
          <w:szCs w:val="14"/>
          <w:color w:val="auto"/>
        </w:rPr>
        <w:t>With the consent of the holders of not less than a majority in principal amount of the outstanding notes, we and the trustee may enter into an indenture or indentures supplemental to the indenture for the purpose of adding any provisions to or changing in any manner or eliminating any of the provisions of the indenture or the notes or of modifying in any manner the rights of the holders of the notes under the indenture, except that no such supplemental indenture will, without the consent of the holder of each outstanding note affected thereby:</w:t>
      </w:r>
    </w:p>
    <w:p>
      <w:pPr>
        <w:spacing w:after="0" w:line="140" w:lineRule="exact"/>
        <w:rPr>
          <w:sz w:val="20"/>
          <w:szCs w:val="20"/>
          <w:color w:val="auto"/>
        </w:rPr>
      </w:pPr>
    </w:p>
    <w:p>
      <w:pPr>
        <w:ind w:left="1000" w:hanging="503"/>
        <w:spacing w:after="0"/>
        <w:tabs>
          <w:tab w:leader="none" w:pos="1000" w:val="left"/>
        </w:tabs>
        <w:numPr>
          <w:ilvl w:val="0"/>
          <w:numId w:val="40"/>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reduce the rate of, or change the time for payment of, interest, including default interest, on any note;</w:t>
      </w:r>
    </w:p>
    <w:p>
      <w:pPr>
        <w:spacing w:after="0" w:line="168" w:lineRule="exact"/>
        <w:rPr>
          <w:rFonts w:ascii="Arial" w:cs="Arial" w:eastAsia="Arial" w:hAnsi="Arial"/>
          <w:sz w:val="14"/>
          <w:szCs w:val="14"/>
          <w:b w:val="1"/>
          <w:bCs w:val="1"/>
          <w:color w:val="auto"/>
        </w:rPr>
      </w:pPr>
    </w:p>
    <w:p>
      <w:pPr>
        <w:ind w:left="1000" w:right="460" w:hanging="503"/>
        <w:spacing w:after="0" w:line="270" w:lineRule="auto"/>
        <w:tabs>
          <w:tab w:leader="none" w:pos="1000" w:val="left"/>
        </w:tabs>
        <w:numPr>
          <w:ilvl w:val="0"/>
          <w:numId w:val="40"/>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reduce the principal of or change the stated maturity of any note, change the date on which any note may be subject to redemption, or reduce the price at which any note subject to redemption may be redeemed;</w:t>
      </w:r>
    </w:p>
    <w:p>
      <w:pPr>
        <w:spacing w:after="0" w:line="131" w:lineRule="exact"/>
        <w:rPr>
          <w:rFonts w:ascii="Arial" w:cs="Arial" w:eastAsia="Arial" w:hAnsi="Arial"/>
          <w:sz w:val="14"/>
          <w:szCs w:val="14"/>
          <w:b w:val="1"/>
          <w:bCs w:val="1"/>
          <w:color w:val="auto"/>
        </w:rPr>
      </w:pPr>
    </w:p>
    <w:p>
      <w:pPr>
        <w:ind w:left="1000" w:hanging="503"/>
        <w:spacing w:after="0"/>
        <w:tabs>
          <w:tab w:leader="none" w:pos="1000" w:val="left"/>
        </w:tabs>
        <w:numPr>
          <w:ilvl w:val="0"/>
          <w:numId w:val="40"/>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make any note payable in money other than dollars;</w:t>
      </w:r>
    </w:p>
    <w:p>
      <w:pPr>
        <w:spacing w:after="0" w:line="168" w:lineRule="exact"/>
        <w:rPr>
          <w:rFonts w:ascii="Arial" w:cs="Arial" w:eastAsia="Arial" w:hAnsi="Arial"/>
          <w:sz w:val="14"/>
          <w:szCs w:val="14"/>
          <w:b w:val="1"/>
          <w:bCs w:val="1"/>
          <w:color w:val="auto"/>
        </w:rPr>
      </w:pPr>
    </w:p>
    <w:p>
      <w:pPr>
        <w:ind w:left="1000" w:hanging="503"/>
        <w:spacing w:after="0" w:line="270" w:lineRule="auto"/>
        <w:tabs>
          <w:tab w:leader="none" w:pos="1000" w:val="left"/>
        </w:tabs>
        <w:numPr>
          <w:ilvl w:val="0"/>
          <w:numId w:val="40"/>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modify any provision of the indenture protecting the right of a holder to receive payment of principal of and interest on such note on or after the due date thereof or to bring suit to enforce payment;</w:t>
      </w:r>
    </w:p>
    <w:p>
      <w:pPr>
        <w:spacing w:after="0" w:line="131" w:lineRule="exact"/>
        <w:rPr>
          <w:rFonts w:ascii="Arial" w:cs="Arial" w:eastAsia="Arial" w:hAnsi="Arial"/>
          <w:sz w:val="14"/>
          <w:szCs w:val="14"/>
          <w:b w:val="1"/>
          <w:bCs w:val="1"/>
          <w:color w:val="auto"/>
        </w:rPr>
      </w:pPr>
    </w:p>
    <w:p>
      <w:pPr>
        <w:ind w:left="1000" w:hanging="503"/>
        <w:spacing w:after="0"/>
        <w:tabs>
          <w:tab w:leader="none" w:pos="1000" w:val="left"/>
        </w:tabs>
        <w:numPr>
          <w:ilvl w:val="0"/>
          <w:numId w:val="40"/>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reduce the threshold of holders the consent of whom is required for any such supplemental indenture or required to waive certain defaults and covenants under the indenture; or</w:t>
      </w:r>
    </w:p>
    <w:p>
      <w:pPr>
        <w:spacing w:after="0" w:line="168" w:lineRule="exact"/>
        <w:rPr>
          <w:rFonts w:ascii="Arial" w:cs="Arial" w:eastAsia="Arial" w:hAnsi="Arial"/>
          <w:sz w:val="14"/>
          <w:szCs w:val="14"/>
          <w:b w:val="1"/>
          <w:bCs w:val="1"/>
          <w:color w:val="auto"/>
        </w:rPr>
      </w:pPr>
    </w:p>
    <w:p>
      <w:pPr>
        <w:ind w:left="1000" w:right="120" w:hanging="503"/>
        <w:spacing w:after="0" w:line="258" w:lineRule="auto"/>
        <w:tabs>
          <w:tab w:leader="none" w:pos="1000" w:val="left"/>
        </w:tabs>
        <w:numPr>
          <w:ilvl w:val="0"/>
          <w:numId w:val="40"/>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modify any of the provisions of the section of the indenture governing supplemental indentures with the consent of holders, or those provisions relating to waiver of defaults or certain covenants, except to increase any such percentage required for such actions or to provide that certain other provisions of the indenture cannot be modified or waived without the consent of the holder of each outstanding note.</w:t>
      </w:r>
    </w:p>
    <w:p>
      <w:pPr>
        <w:spacing w:after="0" w:line="140" w:lineRule="exact"/>
        <w:rPr>
          <w:sz w:val="20"/>
          <w:szCs w:val="20"/>
          <w:color w:val="auto"/>
        </w:rPr>
      </w:pPr>
    </w:p>
    <w:p>
      <w:pPr>
        <w:ind w:firstLine="495"/>
        <w:spacing w:after="0" w:line="258" w:lineRule="auto"/>
        <w:rPr>
          <w:sz w:val="20"/>
          <w:szCs w:val="20"/>
          <w:color w:val="auto"/>
        </w:rPr>
      </w:pPr>
      <w:r>
        <w:rPr>
          <w:rFonts w:ascii="Times New Roman" w:cs="Times New Roman" w:eastAsia="Times New Roman" w:hAnsi="Times New Roman"/>
          <w:sz w:val="14"/>
          <w:szCs w:val="14"/>
          <w:color w:val="auto"/>
        </w:rPr>
        <w:t>The holders of not less than a majority in aggregate principal amount of the outstanding notes may on behalf of the holders of all notes waive any past default under the indenture and its consequences, except a default in any payment in respect of the principal of or interest on any note, or in respect of a covenant or provision of the indenture under which the indenture cannot be modified or amended without the consent of the holder of each outstanding note.</w:t>
      </w: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wp:posOffset>
            </wp:positionV>
            <wp:extent cx="7164705" cy="63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1">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60"/>
          </w:cols>
          <w:pgMar w:left="300" w:top="724"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color w:val="auto"/>
        </w:rPr>
        <w:t>Satisfaction and Discharge of the Indenture; Defeasance</w:t>
      </w:r>
    </w:p>
    <w:p>
      <w:pPr>
        <w:spacing w:after="0" w:line="17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We may terminate our obligations under the indenture when:</w:t>
      </w:r>
    </w:p>
    <w:p>
      <w:pPr>
        <w:spacing w:after="0" w:line="169" w:lineRule="exact"/>
        <w:rPr>
          <w:sz w:val="20"/>
          <w:szCs w:val="20"/>
          <w:color w:val="auto"/>
        </w:rPr>
      </w:pPr>
    </w:p>
    <w:p>
      <w:pPr>
        <w:ind w:left="1000" w:hanging="503"/>
        <w:spacing w:after="0"/>
        <w:tabs>
          <w:tab w:leader="none" w:pos="1000" w:val="left"/>
        </w:tabs>
        <w:numPr>
          <w:ilvl w:val="0"/>
          <w:numId w:val="41"/>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either: (1) all notes that have been authenticated and delivered have been delivered to the trustee for cancellation, or (2) all notes that have not been delivered to the trustee for cancellation</w:t>
      </w:r>
    </w:p>
    <w:p>
      <w:pPr>
        <w:spacing w:after="0" w:line="28" w:lineRule="exact"/>
        <w:rPr>
          <w:rFonts w:ascii="Arial" w:cs="Arial" w:eastAsia="Arial" w:hAnsi="Arial"/>
          <w:sz w:val="13"/>
          <w:szCs w:val="13"/>
          <w:b w:val="1"/>
          <w:bCs w:val="1"/>
          <w:color w:val="auto"/>
        </w:rPr>
      </w:pPr>
    </w:p>
    <w:p>
      <w:pPr>
        <w:ind w:left="1000" w:right="140"/>
        <w:spacing w:after="0" w:line="248" w:lineRule="auto"/>
        <w:rPr>
          <w:rFonts w:ascii="Arial" w:cs="Arial" w:eastAsia="Arial" w:hAnsi="Arial"/>
          <w:sz w:val="13"/>
          <w:szCs w:val="13"/>
          <w:b w:val="1"/>
          <w:bCs w:val="1"/>
          <w:color w:val="auto"/>
        </w:rPr>
      </w:pPr>
      <w:r>
        <w:rPr>
          <w:rFonts w:ascii="Times New Roman" w:cs="Times New Roman" w:eastAsia="Times New Roman" w:hAnsi="Times New Roman"/>
          <w:sz w:val="14"/>
          <w:szCs w:val="14"/>
          <w:color w:val="auto"/>
        </w:rPr>
        <w:t>(i) have become due and payable, (ii) will become due and payable at their stated maturity within one year or (iii) are to be called for redemption within one year under arrangements satisfactory to the trustee for the giving of notice of redemption by the trustee, and in the case of the foregoing clauses (i), (ii), and (iii) we have deposited or caused to be deposited with the trustee immediately available funds in an amount sufficient to pay and discharge the entire indebtedness on the outstanding notes;</w:t>
      </w:r>
    </w:p>
    <w:p>
      <w:pPr>
        <w:spacing w:after="0" w:line="146" w:lineRule="exact"/>
        <w:rPr>
          <w:rFonts w:ascii="Arial" w:cs="Arial" w:eastAsia="Arial" w:hAnsi="Arial"/>
          <w:sz w:val="13"/>
          <w:szCs w:val="13"/>
          <w:b w:val="1"/>
          <w:bCs w:val="1"/>
          <w:color w:val="auto"/>
        </w:rPr>
      </w:pPr>
    </w:p>
    <w:p>
      <w:pPr>
        <w:ind w:left="1000" w:hanging="503"/>
        <w:spacing w:after="0"/>
        <w:tabs>
          <w:tab w:leader="none" w:pos="1000" w:val="left"/>
        </w:tabs>
        <w:numPr>
          <w:ilvl w:val="0"/>
          <w:numId w:val="41"/>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we have paid or caused to be paid all other sums payable by us under the indenture with respect to the notes; and</w:t>
      </w:r>
    </w:p>
    <w:p>
      <w:pPr>
        <w:spacing w:after="0" w:line="168" w:lineRule="exact"/>
        <w:rPr>
          <w:rFonts w:ascii="Arial" w:cs="Arial" w:eastAsia="Arial" w:hAnsi="Arial"/>
          <w:sz w:val="14"/>
          <w:szCs w:val="14"/>
          <w:b w:val="1"/>
          <w:bCs w:val="1"/>
          <w:color w:val="auto"/>
        </w:rPr>
      </w:pPr>
    </w:p>
    <w:p>
      <w:pPr>
        <w:ind w:left="1000" w:right="40" w:hanging="503"/>
        <w:spacing w:after="0" w:line="270" w:lineRule="auto"/>
        <w:tabs>
          <w:tab w:leader="none" w:pos="1000" w:val="left"/>
        </w:tabs>
        <w:numPr>
          <w:ilvl w:val="0"/>
          <w:numId w:val="41"/>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we have delivered to the trustee an officer’s certificate and an opinion of counsel, each stating that all conditions precedent under the indenture relating to the satisfaction and discharge of the indenture have been satisfied.</w:t>
      </w:r>
    </w:p>
    <w:p>
      <w:pPr>
        <w:spacing w:after="0" w:line="132" w:lineRule="exact"/>
        <w:rPr>
          <w:sz w:val="20"/>
          <w:szCs w:val="20"/>
          <w:color w:val="auto"/>
        </w:rPr>
      </w:pPr>
    </w:p>
    <w:p>
      <w:pPr>
        <w:ind w:right="20" w:firstLine="495"/>
        <w:spacing w:after="0" w:line="271" w:lineRule="auto"/>
        <w:rPr>
          <w:sz w:val="20"/>
          <w:szCs w:val="20"/>
          <w:color w:val="auto"/>
        </w:rPr>
      </w:pPr>
      <w:r>
        <w:rPr>
          <w:rFonts w:ascii="Times New Roman" w:cs="Times New Roman" w:eastAsia="Times New Roman" w:hAnsi="Times New Roman"/>
          <w:sz w:val="14"/>
          <w:szCs w:val="14"/>
          <w:color w:val="auto"/>
        </w:rPr>
        <w:t>We may elect, at our option and at any time, to have our obligations discharged with respect to the outstanding notes, which we refer to as legal defeasance. Legal defeasance means that we will be deemed to have paid and discharged the entire indebtedness represented by the outstanding notes, except for:</w:t>
      </w:r>
    </w:p>
    <w:p>
      <w:pPr>
        <w:spacing w:after="0" w:line="131" w:lineRule="exact"/>
        <w:rPr>
          <w:sz w:val="20"/>
          <w:szCs w:val="20"/>
          <w:color w:val="auto"/>
        </w:rPr>
      </w:pPr>
    </w:p>
    <w:p>
      <w:pPr>
        <w:ind w:left="1000" w:hanging="503"/>
        <w:spacing w:after="0"/>
        <w:tabs>
          <w:tab w:leader="none" w:pos="1000" w:val="left"/>
        </w:tabs>
        <w:numPr>
          <w:ilvl w:val="0"/>
          <w:numId w:val="42"/>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the rights of the holders of such notes to receive payments in respect of the principal of and interest on such notes when payments are due;</w:t>
      </w:r>
    </w:p>
    <w:p>
      <w:pPr>
        <w:spacing w:after="0" w:line="168" w:lineRule="exact"/>
        <w:rPr>
          <w:rFonts w:ascii="Arial" w:cs="Arial" w:eastAsia="Arial" w:hAnsi="Arial"/>
          <w:sz w:val="14"/>
          <w:szCs w:val="14"/>
          <w:b w:val="1"/>
          <w:bCs w:val="1"/>
          <w:color w:val="auto"/>
        </w:rPr>
      </w:pPr>
    </w:p>
    <w:p>
      <w:pPr>
        <w:ind w:left="1000" w:hanging="503"/>
        <w:spacing w:after="0" w:line="270" w:lineRule="auto"/>
        <w:tabs>
          <w:tab w:leader="none" w:pos="1000" w:val="left"/>
        </w:tabs>
        <w:numPr>
          <w:ilvl w:val="0"/>
          <w:numId w:val="42"/>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our obligations with respect to such notes concerning registration of notes, mutilated, destroyed, lost or stolen notes and the maintenance of an office or agency for payment and money for payments on the notes to be held in trust;</w:t>
      </w:r>
    </w:p>
    <w:p>
      <w:pPr>
        <w:spacing w:after="0" w:line="131" w:lineRule="exact"/>
        <w:rPr>
          <w:rFonts w:ascii="Arial" w:cs="Arial" w:eastAsia="Arial" w:hAnsi="Arial"/>
          <w:sz w:val="14"/>
          <w:szCs w:val="14"/>
          <w:b w:val="1"/>
          <w:bCs w:val="1"/>
          <w:color w:val="auto"/>
        </w:rPr>
      </w:pPr>
    </w:p>
    <w:p>
      <w:pPr>
        <w:ind w:left="1000" w:hanging="503"/>
        <w:spacing w:after="0"/>
        <w:tabs>
          <w:tab w:leader="none" w:pos="1000" w:val="left"/>
        </w:tabs>
        <w:numPr>
          <w:ilvl w:val="0"/>
          <w:numId w:val="42"/>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the rights, powers, trusts, duties and immunities of the trustee under the indenture; and</w:t>
      </w:r>
    </w:p>
    <w:p>
      <w:pPr>
        <w:spacing w:after="0" w:line="168" w:lineRule="exact"/>
        <w:rPr>
          <w:rFonts w:ascii="Arial" w:cs="Arial" w:eastAsia="Arial" w:hAnsi="Arial"/>
          <w:sz w:val="14"/>
          <w:szCs w:val="14"/>
          <w:b w:val="1"/>
          <w:bCs w:val="1"/>
          <w:color w:val="auto"/>
        </w:rPr>
      </w:pPr>
    </w:p>
    <w:p>
      <w:pPr>
        <w:ind w:left="1000" w:hanging="503"/>
        <w:spacing w:after="0"/>
        <w:tabs>
          <w:tab w:leader="none" w:pos="1000" w:val="left"/>
        </w:tabs>
        <w:numPr>
          <w:ilvl w:val="0"/>
          <w:numId w:val="42"/>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the defeasance provisions of the indenture.</w:t>
      </w:r>
    </w:p>
    <w:p>
      <w:pPr>
        <w:spacing w:after="0" w:line="168" w:lineRule="exact"/>
        <w:rPr>
          <w:sz w:val="20"/>
          <w:szCs w:val="20"/>
          <w:color w:val="auto"/>
        </w:rPr>
      </w:pPr>
    </w:p>
    <w:p>
      <w:pPr>
        <w:ind w:right="480" w:firstLine="495"/>
        <w:spacing w:after="0" w:line="271" w:lineRule="auto"/>
        <w:rPr>
          <w:sz w:val="20"/>
          <w:szCs w:val="20"/>
          <w:color w:val="auto"/>
        </w:rPr>
      </w:pPr>
      <w:r>
        <w:rPr>
          <w:rFonts w:ascii="Times New Roman" w:cs="Times New Roman" w:eastAsia="Times New Roman" w:hAnsi="Times New Roman"/>
          <w:sz w:val="14"/>
          <w:szCs w:val="14"/>
          <w:color w:val="auto"/>
        </w:rPr>
        <w:t>In addition, we may elect, at our option, to have our obligations released with respect to certain covenants contained in the indenture, which is also called covenant defeasance. In the event covenant defeasance occurs, certain events (not including non-payment, bankruptcy and insolvency events) will no longer constitute an event of default with respect to the notes.</w:t>
      </w:r>
    </w:p>
    <w:p>
      <w:pPr>
        <w:spacing w:after="0" w:line="13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In order to exercise either legal defeasance or covenant defeasance with respect to outstanding notes:</w:t>
      </w:r>
    </w:p>
    <w:p>
      <w:pPr>
        <w:spacing w:after="0" w:line="169" w:lineRule="exact"/>
        <w:rPr>
          <w:sz w:val="20"/>
          <w:szCs w:val="20"/>
          <w:color w:val="auto"/>
        </w:rPr>
      </w:pPr>
    </w:p>
    <w:p>
      <w:pPr>
        <w:ind w:left="1000" w:right="20" w:hanging="503"/>
        <w:spacing w:after="0" w:line="252" w:lineRule="auto"/>
        <w:tabs>
          <w:tab w:leader="none" w:pos="1000" w:val="left"/>
        </w:tabs>
        <w:numPr>
          <w:ilvl w:val="0"/>
          <w:numId w:val="43"/>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we must irrevocably have deposited or caused to be deposited with the trustee as trust funds in trust for the purpose of making the following payments, specifically pledged as security for, and dedicated solely to the benefits of the holders of such notes, (1) an amount in dollars, (2) U.S. government obligations that through the scheduled payment of principal and interest in respect thereof in accordance with their terms will provide, not later than one day before the due date of any payment on the notes, money in an amount, or (3) a combination thereof, in each case sufficient to pay and discharge, and which will be applied by the trustee to pay and discharge, the entire indebtedness in respect of the principal of and interest on the notes on the stated maturity thereof or, with respect to notes called for redemption, on the redemption date thereof;</w:t>
      </w:r>
    </w:p>
    <w:p>
      <w:pPr>
        <w:spacing w:after="0" w:line="143" w:lineRule="exact"/>
        <w:rPr>
          <w:rFonts w:ascii="Arial" w:cs="Arial" w:eastAsia="Arial" w:hAnsi="Arial"/>
          <w:sz w:val="14"/>
          <w:szCs w:val="14"/>
          <w:b w:val="1"/>
          <w:bCs w:val="1"/>
          <w:color w:val="auto"/>
        </w:rPr>
      </w:pPr>
    </w:p>
    <w:p>
      <w:pPr>
        <w:ind w:left="1000" w:right="20" w:hanging="503"/>
        <w:spacing w:after="0" w:line="279" w:lineRule="auto"/>
        <w:tabs>
          <w:tab w:leader="none" w:pos="1000" w:val="left"/>
        </w:tabs>
        <w:numPr>
          <w:ilvl w:val="0"/>
          <w:numId w:val="43"/>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in the case of legal defeasance, we will have delivered to the trustee an opinion of counsel stating that we have received from, or there has been published by, the Internal Revenue Service a ruling or since the date of the indenture there has been a change in the applicable U.S. federal income tax law, in either case to the effect that, and based thereon such opinion will confirm that, the holders of the notes will not recognize income, gain or loss for U.S. federal income tax purposes as a result of such legal defeasance to be effected with respect to such notes and will be subject to U.S. federal income tax on the same amount, in the same manner and at the same times as would be the case if such legal defeasance had not occurred;</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wp:posOffset>
            </wp:positionV>
            <wp:extent cx="7164705" cy="63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2">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720" w:right="319" w:bottom="1440" w:gutter="0" w:footer="0" w:header="0"/>
        </w:sectPr>
      </w:pPr>
    </w:p>
    <w:bookmarkStart w:id="48" w:name="page49"/>
    <w:bookmarkEnd w:id="48"/>
    <w:p>
      <w:pPr>
        <w:ind w:left="1000" w:hanging="503"/>
        <w:spacing w:after="0" w:line="258" w:lineRule="auto"/>
        <w:tabs>
          <w:tab w:leader="none" w:pos="1000" w:val="left"/>
        </w:tabs>
        <w:numPr>
          <w:ilvl w:val="0"/>
          <w:numId w:val="44"/>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in the case of covenant defeasance, we will have delivered to the trustee an opinion of counsel to the effect that the holders of the outstanding notes will not recognize income, gain or loss for U.S. federal income tax purposes as a result of such covenant defeasance to be effected with respect to the notes and will be subject to U.S. federal income tax on the same amount, in the same manner and at the same times as would be the case if such covenant defeasance had not occurred;</w:t>
      </w:r>
    </w:p>
    <w:p>
      <w:pPr>
        <w:spacing w:after="0" w:line="139" w:lineRule="exact"/>
        <w:rPr>
          <w:rFonts w:ascii="Arial" w:cs="Arial" w:eastAsia="Arial" w:hAnsi="Arial"/>
          <w:sz w:val="14"/>
          <w:szCs w:val="14"/>
          <w:b w:val="1"/>
          <w:bCs w:val="1"/>
          <w:color w:val="auto"/>
        </w:rPr>
      </w:pPr>
    </w:p>
    <w:p>
      <w:pPr>
        <w:ind w:left="1000" w:right="20" w:hanging="503"/>
        <w:spacing w:after="0" w:line="258" w:lineRule="auto"/>
        <w:tabs>
          <w:tab w:leader="none" w:pos="1000" w:val="left"/>
        </w:tabs>
        <w:numPr>
          <w:ilvl w:val="0"/>
          <w:numId w:val="44"/>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no event of default, or event which with notice or lapse of time or both would become an event of default with respect to the outstanding notes will have occurred and be continuing at the time of such deposit referred to in the first bullet point above (and in the case of legal defeasance will have occurred and be continuing at any time during the period ending on and including the 91st day after the date of such deposit);</w:t>
      </w:r>
    </w:p>
    <w:p>
      <w:pPr>
        <w:spacing w:after="0" w:line="139" w:lineRule="exact"/>
        <w:rPr>
          <w:rFonts w:ascii="Arial" w:cs="Arial" w:eastAsia="Arial" w:hAnsi="Arial"/>
          <w:sz w:val="14"/>
          <w:szCs w:val="14"/>
          <w:b w:val="1"/>
          <w:bCs w:val="1"/>
          <w:color w:val="auto"/>
        </w:rPr>
      </w:pPr>
    </w:p>
    <w:p>
      <w:pPr>
        <w:ind w:left="1000" w:right="80" w:hanging="503"/>
        <w:spacing w:after="0" w:line="270" w:lineRule="auto"/>
        <w:tabs>
          <w:tab w:leader="none" w:pos="1000" w:val="left"/>
        </w:tabs>
        <w:numPr>
          <w:ilvl w:val="0"/>
          <w:numId w:val="44"/>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such legal defeasance or covenant defeasance will not result in a breach or violation of, or constitute a default under, the indenture or any other material agreement or material instrument to which we or our subsidiaries are a party or by which we or our subsidiaries are bound;</w:t>
      </w:r>
    </w:p>
    <w:p>
      <w:pPr>
        <w:spacing w:after="0" w:line="131" w:lineRule="exact"/>
        <w:rPr>
          <w:rFonts w:ascii="Arial" w:cs="Arial" w:eastAsia="Arial" w:hAnsi="Arial"/>
          <w:sz w:val="14"/>
          <w:szCs w:val="14"/>
          <w:b w:val="1"/>
          <w:bCs w:val="1"/>
          <w:color w:val="auto"/>
        </w:rPr>
      </w:pPr>
    </w:p>
    <w:p>
      <w:pPr>
        <w:ind w:left="1000" w:right="540" w:hanging="503"/>
        <w:spacing w:after="0" w:line="270" w:lineRule="auto"/>
        <w:tabs>
          <w:tab w:leader="none" w:pos="1000" w:val="left"/>
        </w:tabs>
        <w:numPr>
          <w:ilvl w:val="0"/>
          <w:numId w:val="44"/>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we will have delivered to the trustee an officer’s certificate and an opinion of counsel, each stating that all conditions precedent with respect to such legal defeasance or covenant defeasance have been satisfied;</w:t>
      </w:r>
    </w:p>
    <w:p>
      <w:pPr>
        <w:spacing w:after="0" w:line="131" w:lineRule="exact"/>
        <w:rPr>
          <w:rFonts w:ascii="Arial" w:cs="Arial" w:eastAsia="Arial" w:hAnsi="Arial"/>
          <w:sz w:val="14"/>
          <w:szCs w:val="14"/>
          <w:b w:val="1"/>
          <w:bCs w:val="1"/>
          <w:color w:val="auto"/>
        </w:rPr>
      </w:pPr>
    </w:p>
    <w:p>
      <w:pPr>
        <w:ind w:left="1000" w:right="120" w:hanging="503"/>
        <w:spacing w:after="0" w:line="258" w:lineRule="auto"/>
        <w:tabs>
          <w:tab w:leader="none" w:pos="1000" w:val="left"/>
        </w:tabs>
        <w:numPr>
          <w:ilvl w:val="0"/>
          <w:numId w:val="44"/>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if the moneys or government obligations or combination thereof, as the case may be, are sufficient to pay the principal of, and interest, if any, on, such notes provided such notes are redeemed on a particular redemption date, we will have given the trustee irrevocable instructions to redeem such notes on such date and to provide notice of such redemption to holders; and</w:t>
      </w:r>
    </w:p>
    <w:p>
      <w:pPr>
        <w:spacing w:after="0" w:line="139" w:lineRule="exact"/>
        <w:rPr>
          <w:rFonts w:ascii="Arial" w:cs="Arial" w:eastAsia="Arial" w:hAnsi="Arial"/>
          <w:sz w:val="14"/>
          <w:szCs w:val="14"/>
          <w:b w:val="1"/>
          <w:bCs w:val="1"/>
          <w:color w:val="auto"/>
        </w:rPr>
      </w:pPr>
    </w:p>
    <w:p>
      <w:pPr>
        <w:ind w:left="1000" w:hanging="503"/>
        <w:spacing w:after="0"/>
        <w:tabs>
          <w:tab w:leader="none" w:pos="1000" w:val="left"/>
        </w:tabs>
        <w:numPr>
          <w:ilvl w:val="0"/>
          <w:numId w:val="44"/>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The trustee will have received such other documents, assurances and Opinions of Counsel as the trustee will have reasonably required</w:t>
      </w:r>
    </w:p>
    <w:p>
      <w:pPr>
        <w:spacing w:after="0" w:line="168" w:lineRule="exact"/>
        <w:rPr>
          <w:sz w:val="20"/>
          <w:szCs w:val="20"/>
          <w:color w:val="auto"/>
        </w:rPr>
      </w:pPr>
    </w:p>
    <w:p>
      <w:pPr>
        <w:ind w:right="120" w:firstLine="495"/>
        <w:spacing w:after="0" w:line="271" w:lineRule="auto"/>
        <w:rPr>
          <w:sz w:val="20"/>
          <w:szCs w:val="20"/>
          <w:color w:val="auto"/>
        </w:rPr>
      </w:pPr>
      <w:r>
        <w:rPr>
          <w:rFonts w:ascii="Times New Roman" w:cs="Times New Roman" w:eastAsia="Times New Roman" w:hAnsi="Times New Roman"/>
          <w:sz w:val="14"/>
          <w:szCs w:val="14"/>
          <w:color w:val="auto"/>
        </w:rPr>
        <w:t>In connection with a discharge or defeasance, in the event the trustee is unable to apply the moneys deposited as contemplated under the satisfaction and discharge provisions of the indenture for any reason, our obligations under the indenture and the notes will be revived as if the deposit had never occurred.</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Regarding the Trustee</w:t>
      </w:r>
    </w:p>
    <w:p>
      <w:pPr>
        <w:spacing w:after="0" w:line="173" w:lineRule="exact"/>
        <w:rPr>
          <w:sz w:val="20"/>
          <w:szCs w:val="20"/>
          <w:color w:val="auto"/>
        </w:rPr>
      </w:pPr>
    </w:p>
    <w:p>
      <w:pPr>
        <w:ind w:right="60" w:firstLine="495"/>
        <w:spacing w:after="0" w:line="311" w:lineRule="auto"/>
        <w:rPr>
          <w:sz w:val="20"/>
          <w:szCs w:val="20"/>
          <w:color w:val="auto"/>
        </w:rPr>
      </w:pPr>
      <w:r>
        <w:rPr>
          <w:rFonts w:ascii="Times New Roman" w:cs="Times New Roman" w:eastAsia="Times New Roman" w:hAnsi="Times New Roman"/>
          <w:sz w:val="13"/>
          <w:szCs w:val="13"/>
          <w:color w:val="auto"/>
        </w:rPr>
        <w:t>UMB Bank, N.A. is acting as the trustee under the indenture and the initial paying agent and registrar for the notes. From time to time, we and some of our subsidiaries may maintain deposit accounts and conduct other banking transactions, including lending transactions, with the trustee in the ordinary course of business. The trustee is also serving as the exchange agent for the exchange offer.</w:t>
      </w:r>
    </w:p>
    <w:p>
      <w:pPr>
        <w:spacing w:after="0" w:line="107" w:lineRule="exact"/>
        <w:rPr>
          <w:sz w:val="20"/>
          <w:szCs w:val="20"/>
          <w:color w:val="auto"/>
        </w:rPr>
      </w:pPr>
    </w:p>
    <w:p>
      <w:pPr>
        <w:ind w:right="80" w:firstLine="495"/>
        <w:spacing w:after="0" w:line="258" w:lineRule="auto"/>
        <w:rPr>
          <w:sz w:val="20"/>
          <w:szCs w:val="20"/>
          <w:color w:val="auto"/>
        </w:rPr>
      </w:pPr>
      <w:r>
        <w:rPr>
          <w:rFonts w:ascii="Times New Roman" w:cs="Times New Roman" w:eastAsia="Times New Roman" w:hAnsi="Times New Roman"/>
          <w:sz w:val="14"/>
          <w:szCs w:val="14"/>
          <w:color w:val="auto"/>
        </w:rPr>
        <w:t>Except during the continuance of an event of default under the indenture, the trustee will perform only such duties as are specifically set forth in the indenture. During the continuance of an event of default that has not been cured or waived, the trustee will exercise such of the rights and powers vested in it by the indenture, and use the same degree of care and skill in their exercise, as a prudent person would exercise or use under the circumstances.</w:t>
      </w:r>
    </w:p>
    <w:p>
      <w:pPr>
        <w:spacing w:after="0" w:line="14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The trustee shall not be liable for any action taken or omitted by it in the performance of its duties under this Indenture except for its own gross negligence or willful misconduct.</w:t>
      </w:r>
    </w:p>
    <w:p>
      <w:pPr>
        <w:spacing w:after="0" w:line="169" w:lineRule="exact"/>
        <w:rPr>
          <w:sz w:val="20"/>
          <w:szCs w:val="20"/>
          <w:color w:val="auto"/>
        </w:rPr>
      </w:pPr>
    </w:p>
    <w:p>
      <w:pPr>
        <w:jc w:val="both"/>
        <w:ind w:right="100" w:firstLine="495"/>
        <w:spacing w:after="0" w:line="258" w:lineRule="auto"/>
        <w:rPr>
          <w:sz w:val="20"/>
          <w:szCs w:val="20"/>
          <w:color w:val="auto"/>
        </w:rPr>
      </w:pPr>
      <w:r>
        <w:rPr>
          <w:rFonts w:ascii="Times New Roman" w:cs="Times New Roman" w:eastAsia="Times New Roman" w:hAnsi="Times New Roman"/>
          <w:sz w:val="14"/>
          <w:szCs w:val="14"/>
          <w:color w:val="auto"/>
        </w:rPr>
        <w:t>The indenture and the Trust Indenture Act contain certain limitations on the rights of the trustee, should it become a creditor of our organization, to obtain payment of claims in certain cases or to realize on certain property received in respect of any such claim as security or otherwise. The trustee will be permitted to engage in other transactions; however, if it acquires any “conflicting interest” (as defined in the Trust Indenture Act) it must eliminate such conflict within ninety (90) days, apply to the SEC for permission to continue or resign.</w:t>
      </w:r>
    </w:p>
    <w:p>
      <w:pPr>
        <w:spacing w:after="0" w:line="3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wp:posOffset>
            </wp:positionV>
            <wp:extent cx="7164705" cy="63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3">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60"/>
          </w:cols>
          <w:pgMar w:left="300" w:top="724" w:right="339" w:bottom="1440" w:gutter="0" w:footer="0" w:header="0"/>
        </w:sectPr>
      </w:pPr>
    </w:p>
    <w:bookmarkStart w:id="49" w:name="page50"/>
    <w:bookmarkEnd w:id="49"/>
    <w:p>
      <w:pPr>
        <w:ind w:firstLine="495"/>
        <w:spacing w:after="0" w:line="250" w:lineRule="auto"/>
        <w:rPr>
          <w:sz w:val="20"/>
          <w:szCs w:val="20"/>
          <w:color w:val="auto"/>
        </w:rPr>
      </w:pPr>
      <w:r>
        <w:rPr>
          <w:rFonts w:ascii="Times New Roman" w:cs="Times New Roman" w:eastAsia="Times New Roman" w:hAnsi="Times New Roman"/>
          <w:sz w:val="14"/>
          <w:szCs w:val="14"/>
          <w:color w:val="auto"/>
        </w:rPr>
        <w:t>The holders of a majority in principal amount of the outstanding notes will have the right to direct the time, method and place of conducting any proceeding for any remedy available to the trustee, or exercising any trust or power conferred on the trustee, subject to certain exceptions. The indenture provides that in case an event of default has occurred and is continuing, the trustee will exercise such of the rights and powers vested in it by the indenture, and use the same degree of care and skill in their exercise, as a prudent person would exercise or use under the circumstances. Subject to such provisions, the trustee will be under no obligation to exercise any of the rights or powers vested in it by the indenture at the request or direction of any of the holders under the indenture, unless such holders will have provided to the trustee security or indemnity reasonably satisfactory to the trustee against the costs, expenses and liabilities that might be incurred by it in compliance with such request or direction.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 Personal Liability of Shareholders, Employees, Officers or Directors, or Exchange Agent</w:t>
      </w:r>
    </w:p>
    <w:p>
      <w:pPr>
        <w:spacing w:after="0" w:line="173" w:lineRule="exact"/>
        <w:rPr>
          <w:sz w:val="20"/>
          <w:szCs w:val="20"/>
          <w:color w:val="auto"/>
        </w:rPr>
      </w:pPr>
    </w:p>
    <w:p>
      <w:pPr>
        <w:ind w:firstLine="495"/>
        <w:spacing w:after="0" w:line="254" w:lineRule="auto"/>
        <w:rPr>
          <w:sz w:val="20"/>
          <w:szCs w:val="20"/>
          <w:color w:val="auto"/>
        </w:rPr>
      </w:pPr>
      <w:r>
        <w:rPr>
          <w:rFonts w:ascii="Times New Roman" w:cs="Times New Roman" w:eastAsia="Times New Roman" w:hAnsi="Times New Roman"/>
          <w:sz w:val="14"/>
          <w:szCs w:val="14"/>
          <w:color w:val="auto"/>
        </w:rPr>
        <w:t>No past, present or future director, officer, employee or shareholder of our company or any of our predecessors or successors, as such or in such capacity, nor the Exchange Agent will have any personal liability for any of our obligations under the notes or the indenture by reason of his, her or its status as such director, officer, employee or shareholder. Each holder of notes by accepting a note waives and releases all such liability. The waiver and release are part of the consideration for the issuance of the notes. Such waiver may not be effective to waive liabilities under the federal securities laws, and it is the view of the SEC that such a waiver is against public policy.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Governing Law</w:t>
      </w:r>
    </w:p>
    <w:p>
      <w:pPr>
        <w:spacing w:after="0" w:line="17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The notes and the indenture will be governed by and construed in accordance with the laws of the State of New York.</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wp:posOffset>
            </wp:positionV>
            <wp:extent cx="7164705" cy="63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4">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724" w:right="319" w:bottom="1440" w:gutter="0" w:footer="0" w:header="0"/>
        </w:sectPr>
      </w:pPr>
    </w:p>
    <w:bookmarkStart w:id="50" w:name="page51"/>
    <w:bookmarkEnd w:id="50"/>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CERTAIN UNITED STATES FEDERAL INCOME TAX CONSIDERATIONS</w:t>
      </w:r>
    </w:p>
    <w:p>
      <w:pPr>
        <w:spacing w:after="0" w:line="173" w:lineRule="exact"/>
        <w:rPr>
          <w:sz w:val="20"/>
          <w:szCs w:val="20"/>
          <w:color w:val="auto"/>
        </w:rPr>
      </w:pPr>
    </w:p>
    <w:p>
      <w:pPr>
        <w:ind w:right="260" w:firstLine="495"/>
        <w:spacing w:after="0" w:line="276" w:lineRule="auto"/>
        <w:rPr>
          <w:sz w:val="20"/>
          <w:szCs w:val="20"/>
          <w:color w:val="auto"/>
        </w:rPr>
      </w:pPr>
      <w:r>
        <w:rPr>
          <w:rFonts w:ascii="Times New Roman" w:cs="Times New Roman" w:eastAsia="Times New Roman" w:hAnsi="Times New Roman"/>
          <w:sz w:val="13"/>
          <w:szCs w:val="13"/>
          <w:color w:val="auto"/>
        </w:rPr>
        <w:t>The following is a general summary of the material U.S. federal income tax considerations of the exchange of outstanding Old Notes for New Notes in the exchange offer. It is not a complete analysis of all the potential tax considerations relating to the exchange of outstanding Old Notes for New Notes. This discussion is based upon the provisions of the Internal Revenue Code of 1986, as amended (the “Code”), its legislative history, existing and proposed regulations under the Code, and administrative and judicial interpretations, all as currently in effect. These authorities are subject to change, possibly on a retroactive basis. We cannot assure you that the Internal Revenue Service will not challenge one or more of the tax consequences described in this discussion, and we have not obtained, nor do we intend to obtain, a ruling from the Internal Revenue Service or an opinion of counsel with respect to the U.S. federal income tax consequences described herein.</w:t>
      </w:r>
    </w:p>
    <w:p>
      <w:pPr>
        <w:spacing w:after="0" w:line="13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The tax treatment of a holder of notes may vary depending on the holder’s particular situation. This discussion is limited to the U.S. federal income tax consequences applicable to holders that</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purchased their Old Notes from us in the initial offering and at the initial offering price for cash and who held the Old Notes, and will hold the New Notes, as capital assets within the meaning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Section 1221 of the Code for U.S. federal income tax purposes. This discussion does not address all U.S. federal income tax considerations that may be applicable to holders’ particular circumstances or to</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holders that may be subject to special tax rules under U.S. federal income tax laws including, but not limited to, banks, insurance companies, or other financial institutions, regulated investment companies,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real estate investment trusts, tax-exempt organizations, dealers or traders in securities, commodities or currencies, U.S. expatriates, controlled foreign corporations, passive foreign investment companies,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holders subject to the alternative minimum tax, traders in securities that elect to use a mark-to-market method of accounting for their securities holdings, United States holders whose functional currency is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the United States dollar, persons that will hold the New Notes as a position in a hedging transaction, straddle, conversion transaction or other integrated transactions or risk reduction transaction,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persons deemed to sell the New Notes under the constructive sale provisions of the Code, persons that will hold the New Notes in an individual retirement account, 401(k) plan or similar tax-favored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account, or entities or arrangements classified as partnerships for U.S. federal income tax purposes or other pass-through entities, or investors in such entities. This discussion does not address the tax</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considerations arising under the laws of any foreign, state or local jurisdiction, or any non-income tax consequences of the exchange of Old Notes for New Notes.</w:t>
      </w:r>
    </w:p>
    <w:p>
      <w:pPr>
        <w:spacing w:after="0" w:line="155" w:lineRule="exact"/>
        <w:rPr>
          <w:sz w:val="20"/>
          <w:szCs w:val="20"/>
          <w:color w:val="auto"/>
        </w:rPr>
      </w:pPr>
    </w:p>
    <w:p>
      <w:pPr>
        <w:ind w:right="40" w:firstLine="495"/>
        <w:spacing w:after="0" w:line="254" w:lineRule="auto"/>
        <w:rPr>
          <w:sz w:val="20"/>
          <w:szCs w:val="20"/>
          <w:color w:val="auto"/>
        </w:rPr>
      </w:pPr>
      <w:r>
        <w:rPr>
          <w:rFonts w:ascii="Times New Roman" w:cs="Times New Roman" w:eastAsia="Times New Roman" w:hAnsi="Times New Roman"/>
          <w:sz w:val="14"/>
          <w:szCs w:val="14"/>
          <w:color w:val="auto"/>
        </w:rPr>
        <w:t>The exchange of Old Notes for New Notes in the exchange offer should not constitute a taxable exchange for U.S. federal income tax purposes. Consequently, (1) holders of Old Notes should not recognize gain or loss upon the receipt of New Notes in the exchange offer, (2) a holder’s basis in the New Notes received in the exchange offer should be the same as such holder’s basis in the Old Notes surrendered in exchange therefor immediately before the exchange, and (3) a holder’s holding period in the New Notes should include such holder’s holding period in the Old Notes surrendered in exchange therefor.</w:t>
      </w:r>
    </w:p>
    <w:p>
      <w:pPr>
        <w:spacing w:after="0" w:line="143" w:lineRule="exact"/>
        <w:rPr>
          <w:sz w:val="20"/>
          <w:szCs w:val="20"/>
          <w:color w:val="auto"/>
        </w:rPr>
      </w:pPr>
    </w:p>
    <w:p>
      <w:pPr>
        <w:ind w:right="60" w:firstLine="495"/>
        <w:spacing w:after="0" w:line="258" w:lineRule="auto"/>
        <w:rPr>
          <w:sz w:val="20"/>
          <w:szCs w:val="20"/>
          <w:color w:val="auto"/>
        </w:rPr>
      </w:pPr>
      <w:r>
        <w:rPr>
          <w:rFonts w:ascii="Times New Roman" w:cs="Times New Roman" w:eastAsia="Times New Roman" w:hAnsi="Times New Roman"/>
          <w:sz w:val="14"/>
          <w:szCs w:val="14"/>
          <w:color w:val="auto"/>
        </w:rPr>
        <w:t>This discussion of certain United States Federal Income Tax Considerations is for general information only and may not be applicable depending upon a holder’s particular situation. Holders of Old Notes considering the exchange offer are urged to consult their own tax advisors with respect to the tax consequences to them of exchanging Old Notes for New Notes, including the tax consequences under state, local, estate, foreign and other tax laws and the possible effects of changes in United States or other tax laws.</w:t>
      </w:r>
    </w:p>
    <w:p>
      <w:pPr>
        <w:spacing w:after="0" w:line="3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wp:posOffset>
            </wp:positionV>
            <wp:extent cx="7164705" cy="63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5">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40"/>
          </w:cols>
          <w:pgMar w:left="300" w:top="720" w:right="35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73" w:lineRule="exact"/>
        <w:rPr>
          <w:sz w:val="20"/>
          <w:szCs w:val="20"/>
          <w:color w:val="auto"/>
        </w:rPr>
      </w:pPr>
    </w:p>
    <w:p>
      <w:pPr>
        <w:ind w:right="40" w:firstLine="495"/>
        <w:spacing w:after="0" w:line="252" w:lineRule="auto"/>
        <w:rPr>
          <w:sz w:val="20"/>
          <w:szCs w:val="20"/>
          <w:color w:val="auto"/>
        </w:rPr>
      </w:pPr>
      <w:r>
        <w:rPr>
          <w:rFonts w:ascii="Times New Roman" w:cs="Times New Roman" w:eastAsia="Times New Roman" w:hAnsi="Times New Roman"/>
          <w:sz w:val="14"/>
          <w:szCs w:val="14"/>
          <w:color w:val="auto"/>
        </w:rPr>
        <w:t>Each broker-dealer that receives New Notes for its own account pursuant to the exchange offer must acknowledge that it may be a statutory underwriter and that it will deliver a prospectus in connection with any resale of such New Notes. This prospectus, as it may be amended or supplemented from time to time, may be used by a broker-dealer in connection with resales of New Notes received in exchange for Old Notes where such Old Notes were acquired as a result of market-making activities or other trading activities provided that such broker-dealer notifies the Company to that effect by so indicating on the letter of transmittal. To the extent that any notifying broker-dealer participates in the exchange offer, we will use our commercially reasonable efforts to maintain the effectiveness of this prospectus.</w:t>
      </w:r>
    </w:p>
    <w:p>
      <w:pPr>
        <w:spacing w:after="0" w:line="144" w:lineRule="exact"/>
        <w:rPr>
          <w:sz w:val="20"/>
          <w:szCs w:val="20"/>
          <w:color w:val="auto"/>
        </w:rPr>
      </w:pPr>
    </w:p>
    <w:p>
      <w:pPr>
        <w:ind w:firstLine="495"/>
        <w:spacing w:after="0" w:line="249" w:lineRule="auto"/>
        <w:rPr>
          <w:sz w:val="20"/>
          <w:szCs w:val="20"/>
          <w:color w:val="auto"/>
        </w:rPr>
      </w:pPr>
      <w:r>
        <w:rPr>
          <w:rFonts w:ascii="Times New Roman" w:cs="Times New Roman" w:eastAsia="Times New Roman" w:hAnsi="Times New Roman"/>
          <w:sz w:val="14"/>
          <w:szCs w:val="14"/>
          <w:color w:val="auto"/>
        </w:rPr>
        <w:t>We will not receive any proceeds from any sale of New Notes by broker-dealers or any other persons. New Notes received by broker-dealers for their own account pursuant to the exchange offer may be sold from time to time in one or more transactions in the over-the-counter market, in negotiated transactions, through the writing of options on the New Notes or a combination of such methods of resale, at market prices prevailing at the time of resale, at prices related to such prevailing market prices or at negotiated prices. Any such resale may be made directly to purchasers or to or through brokers or dealers who may receive compensation in the form of commissions or concessions from any such broker-dealer and/or the purchasers of any New Notes. Any broker-dealer that receives New Notes in exchange for Old Notes acquired for its own account as a result of market-making activities or other trading activities, and resells such New Notes, and any broker-dealer that participates in a distribution of such New Notes may be deemed to be an “underwriter” within the meaning of the Securities Act and any profit on any such resale of New Notes and any commission or concessions received by any such persons may be deemed to be underwriting compensation under the Securities Act. The letter of transmittal states that, by acknowledging that it will deliver and by delivering a prospectus, a broker-dealer will not be deemed to admit that it is an “underwriter” within the meaning of the Securities Act.</w:t>
      </w:r>
    </w:p>
    <w:p>
      <w:pPr>
        <w:spacing w:after="0" w:line="148" w:lineRule="exact"/>
        <w:rPr>
          <w:sz w:val="20"/>
          <w:szCs w:val="20"/>
          <w:color w:val="auto"/>
        </w:rPr>
      </w:pPr>
    </w:p>
    <w:p>
      <w:pPr>
        <w:ind w:right="100" w:firstLine="495"/>
        <w:spacing w:after="0" w:line="258" w:lineRule="auto"/>
        <w:rPr>
          <w:sz w:val="20"/>
          <w:szCs w:val="20"/>
          <w:color w:val="auto"/>
        </w:rPr>
      </w:pPr>
      <w:r>
        <w:rPr>
          <w:rFonts w:ascii="Times New Roman" w:cs="Times New Roman" w:eastAsia="Times New Roman" w:hAnsi="Times New Roman"/>
          <w:sz w:val="14"/>
          <w:szCs w:val="14"/>
          <w:color w:val="auto"/>
        </w:rPr>
        <w:t>We will promptly send additional copies of this prospectus and any amendment or supplement to this prospectus to any broker-dealer that reasonably requests such documents. We have agreed to pay certain expenses in connection with the exchange offer and will indemnify the holders of the Old Notes (including any broker-dealers) against certain liabilities, including certain liabilities under the Securities Act.</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wp:posOffset>
            </wp:positionV>
            <wp:extent cx="7164705" cy="63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6">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720" w:right="31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7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The validity of the New Notes will be passed upon for us by Kilpatrick Townsend &amp; Stockton LLP, Washington, D.C.</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73" w:lineRule="exact"/>
        <w:rPr>
          <w:sz w:val="20"/>
          <w:szCs w:val="20"/>
          <w:color w:val="auto"/>
        </w:rPr>
      </w:pPr>
    </w:p>
    <w:p>
      <w:pPr>
        <w:jc w:val="both"/>
        <w:ind w:firstLine="495"/>
        <w:spacing w:after="0" w:line="258"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consolidated financial statements of Hanover Bancorp, Inc. as of December 31, 2025 and 2024 and for each of the two years in the period ended December 31, 2025 have been audited by Crowe LLP, an independent registered public accounting firm, as set forth in its report appearing in the </w:t>
      </w:r>
      <w:hyperlink r:id="rId22">
        <w:r>
          <w:rPr>
            <w:rFonts w:ascii="Times New Roman" w:cs="Times New Roman" w:eastAsia="Times New Roman" w:hAnsi="Times New Roman"/>
            <w:sz w:val="14"/>
            <w:szCs w:val="14"/>
            <w:u w:val="single" w:color="auto"/>
            <w:color w:val="0000EE"/>
          </w:rPr>
          <w:t>Annual Report on Form 10-K for the year ended December 31, 2025</w:t>
        </w:r>
      </w:hyperlink>
      <w:r>
        <w:rPr>
          <w:rFonts w:ascii="Times New Roman" w:cs="Times New Roman" w:eastAsia="Times New Roman" w:hAnsi="Times New Roman"/>
          <w:sz w:val="14"/>
          <w:szCs w:val="14"/>
          <w:color w:val="auto"/>
        </w:rPr>
        <w:t>, and incorporated herein by reference. Such consolidated financial statements have been so incorporated in reliance on the report of such firm given upon its authority as experts in accounting and auditing.</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wp:posOffset>
            </wp:positionV>
            <wp:extent cx="7164705" cy="63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7">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720" w:right="31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INFORMATION NOT REQUIRED IN PROSPECTUS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20.               Indemnification of Officers and Directors</w:t>
      </w:r>
    </w:p>
    <w:p>
      <w:pPr>
        <w:spacing w:after="0" w:line="17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ARTICLE X of the Company’s Articles of Incorporation provides as follows:</w:t>
      </w:r>
    </w:p>
    <w:p>
      <w:pPr>
        <w:spacing w:after="0" w:line="169" w:lineRule="exact"/>
        <w:rPr>
          <w:sz w:val="20"/>
          <w:szCs w:val="20"/>
          <w:color w:val="auto"/>
        </w:rPr>
      </w:pPr>
    </w:p>
    <w:p>
      <w:pPr>
        <w:ind w:right="40" w:firstLine="495"/>
        <w:spacing w:after="0" w:line="271" w:lineRule="auto"/>
        <w:rPr>
          <w:sz w:val="20"/>
          <w:szCs w:val="20"/>
          <w:color w:val="auto"/>
        </w:rPr>
      </w:pPr>
      <w:r>
        <w:rPr>
          <w:rFonts w:ascii="Times New Roman" w:cs="Times New Roman" w:eastAsia="Times New Roman" w:hAnsi="Times New Roman"/>
          <w:sz w:val="13"/>
          <w:szCs w:val="13"/>
          <w:color w:val="auto"/>
        </w:rPr>
        <w:t>Section 10.01       </w:t>
      </w:r>
      <w:r>
        <w:rPr>
          <w:rFonts w:ascii="Times New Roman" w:cs="Times New Roman" w:eastAsia="Times New Roman" w:hAnsi="Times New Roman"/>
          <w:sz w:val="13"/>
          <w:szCs w:val="13"/>
          <w:u w:val="single" w:color="auto"/>
          <w:color w:val="auto"/>
        </w:rPr>
        <w:t>  Indemnification</w:t>
      </w:r>
      <w:r>
        <w:rPr>
          <w:rFonts w:ascii="Times New Roman" w:cs="Times New Roman" w:eastAsia="Times New Roman" w:hAnsi="Times New Roman"/>
          <w:sz w:val="13"/>
          <w:szCs w:val="13"/>
          <w:color w:val="auto"/>
        </w:rPr>
        <w:t>. The Corporation shall indemnify (1) its current and former directors and officers, whether serving the Corporation or at its request any other entity, to the fullest extent required or permitted by the MGCL now or hereafter in force and (2) other employees and agents to such extent as shall be authorized by the Board of Directors and permitted by law; provided, however, that, except as provided in Section 10.02 of this ARTICLE X with respect to proceedings to enforce rights to indemnification, the Corporation shall indemnify any such indemnitee in connection with a proceeding (or part thereof) initiated by such indemnitee only if such proceeding (or part thereof) was authorized by the Board of Directors of the Corporation. In addition, it shall be within the discretion of the Board of Directors whether to advance any funds incurred in defending any such proceeding in advance of its final disposition (hereinafter an “advancement of expenses”); provided, however, that, if the MGCL requires, an advancement of expenses incurred by an indemnitee in his or her capacity as a director of officer, indemnification shall be made only upon delivery to the Corporation of an undertaking (hereinafter an “undertaking”), by or on behalf of such indemnitee, to repay all amounts so advanced if it shall ultimately be determined by final judicial decision from which there is no further right to appeal (hereinafter a “final adjudication”) that such indemnitee is not entitled to be indemnified for such expenses under this Section or otherwise.</w:t>
      </w:r>
    </w:p>
    <w:p>
      <w:pPr>
        <w:spacing w:after="0" w:line="133" w:lineRule="exact"/>
        <w:rPr>
          <w:sz w:val="20"/>
          <w:szCs w:val="20"/>
          <w:color w:val="auto"/>
        </w:rPr>
      </w:pPr>
    </w:p>
    <w:p>
      <w:pPr>
        <w:ind w:firstLine="495"/>
        <w:spacing w:after="0" w:line="268" w:lineRule="auto"/>
        <w:rPr>
          <w:sz w:val="20"/>
          <w:szCs w:val="20"/>
          <w:color w:val="auto"/>
        </w:rPr>
      </w:pPr>
      <w:r>
        <w:rPr>
          <w:rFonts w:ascii="Times New Roman" w:cs="Times New Roman" w:eastAsia="Times New Roman" w:hAnsi="Times New Roman"/>
          <w:sz w:val="13"/>
          <w:szCs w:val="13"/>
          <w:color w:val="auto"/>
        </w:rPr>
        <w:t>Section 10.02       </w:t>
      </w:r>
      <w:r>
        <w:rPr>
          <w:rFonts w:ascii="Times New Roman" w:cs="Times New Roman" w:eastAsia="Times New Roman" w:hAnsi="Times New Roman"/>
          <w:sz w:val="13"/>
          <w:szCs w:val="13"/>
          <w:u w:val="single" w:color="auto"/>
          <w:color w:val="auto"/>
        </w:rPr>
        <w:t>  Procedure</w:t>
      </w:r>
      <w:r>
        <w:rPr>
          <w:rFonts w:ascii="Times New Roman" w:cs="Times New Roman" w:eastAsia="Times New Roman" w:hAnsi="Times New Roman"/>
          <w:sz w:val="13"/>
          <w:szCs w:val="13"/>
          <w:color w:val="auto"/>
        </w:rPr>
        <w:t>. If a claim under Section 10.01 of this ARTICLE X is not paid in full by the Corporation within 60 days after a written claim has been received by the Corporation, except in the case of a claim for an advancement of expenses, in which case the applicable period shall be 20 days, the indemnitee may at any time thereafter bring suit against the Corporation to recover the unpaid amount of the claim. If successful in whole or in part in any such suit, or in a suit brought by the Corporation to recover an advancement of expenses pursuant to the terms of an undertaking, the indemnitee shall also be entitled to be reimbursed the expense of prosecuting or defending such suit. It shall be a defense to any action for advancement of expenses that the Corporation has not received both (i) an undertaking as required by law to repay such advances in the event it shall ultimately be determined that the standard of conduct has not been met and (ii) a written affirmation by the indemnitee of his or her good faith belief that the standard of conduct necessary for indemnification by the Corporation has been met. In (i) any suit brought by the indemnitee to enforce a right to indemnification hereunder (but not in a suit brought by the indemnitee to enforce a right to an advancement of expenses) it shall be a defense that, and (ii) any suit by the Corporation to recover an advancement of expenses pursuant to the terms of an undertaking, the Corporation shall be entitled to recover such expenses upon a final adjudication that, the indemnitee has not met the applicable standard for indemnification set forth in the MGCL. Neither the failure of the Corporation (including its Board of Directors, independent legal counsel, or its stockholders) to have made a determination prior to the commencement of such suit that indemnification of the indemnitee is proper in the circumstances because the indemnitee has met the applicable standard of conduct set forth in the MGCL, nor an actual determination by the Corporation (including its Board of Directors, independent legal counsel, or its stockholders) that the indemnitee has not met such applicable standard of conduct, shall create a presumption that the indemnitee has not met the applicable standard of conduct or, in the case of such a suit brought by the indemnitee, be a defense to such suit. In any suit brought by the indemnitee to enforce a right to indemnification or to an advancement of expenses hereunder, or by the Corporation to recover an advancement of expenses pursuant to the terms of an undertaking, the burden of proving that the indemnitee is not entitled to be indemnified, or to such advancement of expenses, under this ARTICLE X or otherwise shall be on the Corporation.</w:t>
      </w:r>
    </w:p>
    <w:p>
      <w:pPr>
        <w:spacing w:after="0" w:line="303" w:lineRule="exact"/>
        <w:rPr>
          <w:sz w:val="20"/>
          <w:szCs w:val="20"/>
          <w:color w:val="auto"/>
        </w:rPr>
      </w:pPr>
    </w:p>
    <w:p>
      <w:pPr>
        <w:ind w:right="240" w:firstLine="495"/>
        <w:spacing w:after="0" w:line="271" w:lineRule="auto"/>
        <w:rPr>
          <w:sz w:val="20"/>
          <w:szCs w:val="20"/>
          <w:color w:val="auto"/>
        </w:rPr>
      </w:pPr>
      <w:r>
        <w:rPr>
          <w:rFonts w:ascii="Times New Roman" w:cs="Times New Roman" w:eastAsia="Times New Roman" w:hAnsi="Times New Roman"/>
          <w:sz w:val="14"/>
          <w:szCs w:val="14"/>
          <w:color w:val="auto"/>
        </w:rPr>
        <w:t>Section 10.03       </w:t>
      </w:r>
      <w:r>
        <w:rPr>
          <w:rFonts w:ascii="Times New Roman" w:cs="Times New Roman" w:eastAsia="Times New Roman" w:hAnsi="Times New Roman"/>
          <w:sz w:val="14"/>
          <w:szCs w:val="14"/>
          <w:u w:val="single" w:color="auto"/>
          <w:color w:val="auto"/>
        </w:rPr>
        <w:t>  Non-Exclusivity</w:t>
      </w:r>
      <w:r>
        <w:rPr>
          <w:rFonts w:ascii="Times New Roman" w:cs="Times New Roman" w:eastAsia="Times New Roman" w:hAnsi="Times New Roman"/>
          <w:sz w:val="14"/>
          <w:szCs w:val="14"/>
          <w:color w:val="auto"/>
        </w:rPr>
        <w:t>. The rights to indemnification and to the advancement of expenses conferred in this ARTICLE X shall not be exclusive of any other right that any Person may have or hereafter acquire under any statute, these Articles, the Corporation’s Bylaws, any agreement, any vote of stockholders or the Board of Directors, or otherwise.</w:t>
      </w:r>
    </w:p>
    <w:p>
      <w:pPr>
        <w:spacing w:after="0" w:line="131" w:lineRule="exact"/>
        <w:rPr>
          <w:sz w:val="20"/>
          <w:szCs w:val="20"/>
          <w:color w:val="auto"/>
        </w:rPr>
      </w:pPr>
    </w:p>
    <w:p>
      <w:pPr>
        <w:ind w:right="220" w:firstLine="495"/>
        <w:spacing w:after="0" w:line="258" w:lineRule="auto"/>
        <w:rPr>
          <w:sz w:val="20"/>
          <w:szCs w:val="20"/>
          <w:color w:val="auto"/>
        </w:rPr>
      </w:pPr>
      <w:r>
        <w:rPr>
          <w:rFonts w:ascii="Times New Roman" w:cs="Times New Roman" w:eastAsia="Times New Roman" w:hAnsi="Times New Roman"/>
          <w:sz w:val="14"/>
          <w:szCs w:val="14"/>
          <w:color w:val="auto"/>
        </w:rPr>
        <w:t>Section 10.04       </w:t>
      </w:r>
      <w:r>
        <w:rPr>
          <w:rFonts w:ascii="Times New Roman" w:cs="Times New Roman" w:eastAsia="Times New Roman" w:hAnsi="Times New Roman"/>
          <w:sz w:val="14"/>
          <w:szCs w:val="14"/>
          <w:u w:val="single" w:color="auto"/>
          <w:color w:val="auto"/>
        </w:rPr>
        <w:t>  Insurance</w:t>
      </w:r>
      <w:r>
        <w:rPr>
          <w:rFonts w:ascii="Times New Roman" w:cs="Times New Roman" w:eastAsia="Times New Roman" w:hAnsi="Times New Roman"/>
          <w:sz w:val="14"/>
          <w:szCs w:val="14"/>
          <w:color w:val="auto"/>
        </w:rPr>
        <w:t>. The Corporation may maintain insurance, at its expense, to insure itself and any director, officer, employee or agent of the Corporation or another corporation, partnership, joint venture, trust or other enterprise against any expense, liability or loss, whether or not the Corporation would have the power to indemnify such Person against such expense, liability or loss under the MGCL.</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wp:posOffset>
            </wp:positionV>
            <wp:extent cx="7164705" cy="63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8">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720" w:right="319" w:bottom="1440" w:gutter="0" w:footer="0" w:header="0"/>
        </w:sectPr>
      </w:pPr>
    </w:p>
    <w:bookmarkStart w:id="54" w:name="page55"/>
    <w:bookmarkEnd w:id="54"/>
    <w:p>
      <w:pPr>
        <w:ind w:right="100" w:firstLine="495"/>
        <w:spacing w:after="0" w:line="254" w:lineRule="auto"/>
        <w:rPr>
          <w:sz w:val="20"/>
          <w:szCs w:val="20"/>
          <w:color w:val="auto"/>
        </w:rPr>
      </w:pPr>
      <w:r>
        <w:rPr>
          <w:rFonts w:ascii="Times New Roman" w:cs="Times New Roman" w:eastAsia="Times New Roman" w:hAnsi="Times New Roman"/>
          <w:sz w:val="14"/>
          <w:szCs w:val="14"/>
          <w:color w:val="auto"/>
        </w:rPr>
        <w:t>Section 10.05       </w:t>
      </w:r>
      <w:r>
        <w:rPr>
          <w:rFonts w:ascii="Times New Roman" w:cs="Times New Roman" w:eastAsia="Times New Roman" w:hAnsi="Times New Roman"/>
          <w:sz w:val="14"/>
          <w:szCs w:val="14"/>
          <w:u w:val="single" w:color="auto"/>
          <w:color w:val="auto"/>
        </w:rPr>
        <w:t>  Miscellaneous</w:t>
      </w:r>
      <w:r>
        <w:rPr>
          <w:rFonts w:ascii="Times New Roman" w:cs="Times New Roman" w:eastAsia="Times New Roman" w:hAnsi="Times New Roman"/>
          <w:sz w:val="14"/>
          <w:szCs w:val="14"/>
          <w:color w:val="auto"/>
        </w:rPr>
        <w:t>. The Corporation shall not be liable for any payment under this ARTICLE X in connection with a claim made by any indemnitee to the extent such indemnitee has otherwise actually received payment under any insurance policy, agreement, or otherwise, of the amounts otherwise indemnifiable hereunder. The rights to indemnification and to the advancement of expenses conferred in Section 10.01 and Section 10.02 of this ARTICLE X shall be contractual rights and such rights shall continue as to an indemnitee who has ceased to be a director or officer and shall inure to the benefit of the indemnitee’s heirs, executors and administrators.</w:t>
      </w:r>
    </w:p>
    <w:p>
      <w:pPr>
        <w:spacing w:after="0" w:line="143" w:lineRule="exact"/>
        <w:rPr>
          <w:sz w:val="20"/>
          <w:szCs w:val="20"/>
          <w:color w:val="auto"/>
        </w:rPr>
      </w:pPr>
    </w:p>
    <w:p>
      <w:pPr>
        <w:ind w:right="100" w:firstLine="495"/>
        <w:spacing w:after="0" w:line="311" w:lineRule="auto"/>
        <w:rPr>
          <w:sz w:val="20"/>
          <w:szCs w:val="20"/>
          <w:color w:val="auto"/>
        </w:rPr>
      </w:pPr>
      <w:r>
        <w:rPr>
          <w:rFonts w:ascii="Times New Roman" w:cs="Times New Roman" w:eastAsia="Times New Roman" w:hAnsi="Times New Roman"/>
          <w:sz w:val="13"/>
          <w:szCs w:val="13"/>
          <w:color w:val="auto"/>
        </w:rPr>
        <w:t>Section 10.06       </w:t>
      </w:r>
      <w:r>
        <w:rPr>
          <w:rFonts w:ascii="Times New Roman" w:cs="Times New Roman" w:eastAsia="Times New Roman" w:hAnsi="Times New Roman"/>
          <w:sz w:val="13"/>
          <w:szCs w:val="13"/>
          <w:u w:val="single" w:color="auto"/>
          <w:color w:val="auto"/>
        </w:rPr>
        <w:t>  Limitations Imposed by Federal Law</w:t>
      </w:r>
      <w:r>
        <w:rPr>
          <w:rFonts w:ascii="Times New Roman" w:cs="Times New Roman" w:eastAsia="Times New Roman" w:hAnsi="Times New Roman"/>
          <w:sz w:val="13"/>
          <w:szCs w:val="13"/>
          <w:color w:val="auto"/>
        </w:rPr>
        <w:t>. Notwithstanding any other provision set forth in this ARTICLE X, in no event shall any payments made by the Corporation pursuant to this ARTICLE X exceed the amount permissible under applicable federal law, including, without limitation, Section 18(k) of the Federal Deposit Insurance Act and the regulations promulgated thereunder.</w:t>
      </w:r>
    </w:p>
    <w:p>
      <w:pPr>
        <w:spacing w:after="0" w:line="107" w:lineRule="exact"/>
        <w:rPr>
          <w:sz w:val="20"/>
          <w:szCs w:val="20"/>
          <w:color w:val="auto"/>
        </w:rPr>
      </w:pPr>
    </w:p>
    <w:p>
      <w:pPr>
        <w:ind w:right="300" w:firstLine="495"/>
        <w:spacing w:after="0" w:line="271" w:lineRule="auto"/>
        <w:rPr>
          <w:sz w:val="20"/>
          <w:szCs w:val="20"/>
          <w:color w:val="auto"/>
        </w:rPr>
      </w:pPr>
      <w:r>
        <w:rPr>
          <w:rFonts w:ascii="Times New Roman" w:cs="Times New Roman" w:eastAsia="Times New Roman" w:hAnsi="Times New Roman"/>
          <w:sz w:val="14"/>
          <w:szCs w:val="14"/>
          <w:color w:val="auto"/>
        </w:rPr>
        <w:t>Section 10.07         Any repeal or modification of this ARTICLE X shall not in any way diminish any rights to indemnification or to an advancement of expenses of such director or officer or the obligations of the Corporation arising hereunder with respect to events occurring, or claims made, while this ARTICLE X is in force.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21.                  Exhibits and Financial Statement Schedules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38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(a)            Exhibits</w:t>
            </w: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329"/>
        </w:trPr>
        <w:tc>
          <w:tcPr>
            <w:tcW w:w="20" w:type="dxa"/>
            <w:vAlign w:val="bottom"/>
          </w:tcPr>
          <w:p>
            <w:pPr>
              <w:spacing w:after="0"/>
              <w:rPr>
                <w:sz w:val="24"/>
                <w:szCs w:val="24"/>
                <w:color w:val="auto"/>
              </w:rPr>
            </w:pPr>
          </w:p>
        </w:tc>
        <w:tc>
          <w:tcPr>
            <w:tcW w:w="136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900" w:type="dxa"/>
            <w:vAlign w:val="bottom"/>
            <w:gridSpan w:val="18"/>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24"/>
        </w:trPr>
        <w:tc>
          <w:tcPr>
            <w:tcW w:w="2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80" w:type="dxa"/>
            <w:vAlign w:val="bottom"/>
            <w:tcBorders>
              <w:top w:val="single" w:sz="8" w:color="auto"/>
              <w:bottom w:val="single" w:sz="8" w:color="0000EE"/>
            </w:tcBorders>
          </w:tcPr>
          <w:p>
            <w:pPr>
              <w:jc w:val="right"/>
              <w:spacing w:after="0" w:line="125" w:lineRule="exact"/>
              <w:rPr>
                <w:rFonts w:ascii="Times New Roman" w:cs="Times New Roman" w:eastAsia="Times New Roman" w:hAnsi="Times New Roman"/>
                <w:sz w:val="14"/>
                <w:szCs w:val="14"/>
                <w:color w:val="0000EE"/>
                <w:w w:val="91"/>
              </w:rPr>
            </w:pPr>
            <w:hyperlink r:id="rId79">
              <w:r>
                <w:rPr>
                  <w:rFonts w:ascii="Times New Roman" w:cs="Times New Roman" w:eastAsia="Times New Roman" w:hAnsi="Times New Roman"/>
                  <w:sz w:val="14"/>
                  <w:szCs w:val="14"/>
                  <w:color w:val="0000EE"/>
                  <w:w w:val="91"/>
                </w:rPr>
                <w:t>3.</w:t>
              </w:r>
              <w:r>
                <w:rPr>
                  <w:rFonts w:ascii="Times New Roman" w:cs="Times New Roman" w:eastAsia="Times New Roman" w:hAnsi="Times New Roman"/>
                  <w:sz w:val="14"/>
                  <w:szCs w:val="14"/>
                  <w:u w:val="single" w:color="auto"/>
                  <w:color w:val="0000EE"/>
                  <w:w w:val="91"/>
                </w:rPr>
                <w:t>1</w:t>
              </w:r>
            </w:hyperlink>
          </w:p>
        </w:tc>
        <w:tc>
          <w:tcPr>
            <w:tcW w:w="4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7600" w:type="dxa"/>
            <w:vAlign w:val="bottom"/>
            <w:tcBorders>
              <w:top w:val="single" w:sz="8" w:color="auto"/>
              <w:bottom w:val="single" w:sz="8" w:color="0000EE"/>
            </w:tcBorders>
            <w:gridSpan w:val="13"/>
          </w:tcPr>
          <w:p>
            <w:pPr>
              <w:spacing w:after="0" w:line="125" w:lineRule="exact"/>
              <w:rPr>
                <w:rFonts w:ascii="Times New Roman" w:cs="Times New Roman" w:eastAsia="Times New Roman" w:hAnsi="Times New Roman"/>
                <w:sz w:val="14"/>
                <w:szCs w:val="14"/>
                <w:color w:val="0000EE"/>
                <w:w w:val="97"/>
              </w:rPr>
            </w:pPr>
            <w:hyperlink r:id="rId79">
              <w:r>
                <w:rPr>
                  <w:rFonts w:ascii="Times New Roman" w:cs="Times New Roman" w:eastAsia="Times New Roman" w:hAnsi="Times New Roman"/>
                  <w:sz w:val="14"/>
                  <w:szCs w:val="14"/>
                  <w:color w:val="0000EE"/>
                  <w:w w:val="97"/>
                </w:rPr>
                <w:t>Articles of Incorporation (incorporated by reference to Exhibit 3.1 to the Registrant’s Current Report on Form 8-K filed on June 27, 2025)</w:t>
              </w:r>
            </w:hyperlink>
          </w:p>
        </w:tc>
        <w:tc>
          <w:tcPr>
            <w:tcW w:w="2300" w:type="dxa"/>
            <w:vAlign w:val="bottom"/>
            <w:tcBorders>
              <w:top w:val="single" w:sz="8" w:color="auto"/>
            </w:tcBorders>
            <w:gridSpan w:val="5"/>
          </w:tcPr>
          <w:p>
            <w:pPr>
              <w:spacing w:after="0"/>
              <w:rPr>
                <w:sz w:val="10"/>
                <w:szCs w:val="10"/>
                <w:color w:val="auto"/>
              </w:rPr>
            </w:pPr>
          </w:p>
        </w:tc>
      </w:tr>
      <w:tr>
        <w:trPr>
          <w:trHeight w:val="310"/>
        </w:trPr>
        <w:tc>
          <w:tcPr>
            <w:tcW w:w="500" w:type="dxa"/>
            <w:vAlign w:val="bottom"/>
            <w:gridSpan w:val="2"/>
          </w:tcPr>
          <w:p>
            <w:pPr>
              <w:spacing w:after="0"/>
              <w:rPr>
                <w:sz w:val="24"/>
                <w:szCs w:val="24"/>
                <w:color w:val="auto"/>
              </w:rPr>
            </w:pPr>
          </w:p>
        </w:tc>
        <w:tc>
          <w:tcPr>
            <w:tcW w:w="180" w:type="dxa"/>
            <w:vAlign w:val="bottom"/>
          </w:tcPr>
          <w:p>
            <w:pPr>
              <w:jc w:val="right"/>
              <w:spacing w:after="0"/>
              <w:rPr>
                <w:rFonts w:ascii="Times New Roman" w:cs="Times New Roman" w:eastAsia="Times New Roman" w:hAnsi="Times New Roman"/>
                <w:sz w:val="14"/>
                <w:szCs w:val="14"/>
                <w:color w:val="0000EE"/>
                <w:w w:val="91"/>
              </w:rPr>
            </w:pPr>
            <w:hyperlink r:id="rId80">
              <w:r>
                <w:rPr>
                  <w:rFonts w:ascii="Times New Roman" w:cs="Times New Roman" w:eastAsia="Times New Roman" w:hAnsi="Times New Roman"/>
                  <w:sz w:val="14"/>
                  <w:szCs w:val="14"/>
                  <w:color w:val="0000EE"/>
                  <w:w w:val="91"/>
                </w:rPr>
                <w:t>3.</w:t>
              </w:r>
              <w:r>
                <w:rPr>
                  <w:rFonts w:ascii="Times New Roman" w:cs="Times New Roman" w:eastAsia="Times New Roman" w:hAnsi="Times New Roman"/>
                  <w:sz w:val="14"/>
                  <w:szCs w:val="14"/>
                  <w:u w:val="single" w:color="auto"/>
                  <w:color w:val="0000EE"/>
                  <w:w w:val="91"/>
                </w:rPr>
                <w:t>2</w:t>
              </w:r>
            </w:hyperlink>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900" w:type="dxa"/>
            <w:vAlign w:val="bottom"/>
            <w:gridSpan w:val="18"/>
          </w:tcPr>
          <w:p>
            <w:pPr>
              <w:spacing w:after="0"/>
              <w:rPr>
                <w:rFonts w:ascii="Times New Roman" w:cs="Times New Roman" w:eastAsia="Times New Roman" w:hAnsi="Times New Roman"/>
                <w:sz w:val="14"/>
                <w:szCs w:val="14"/>
                <w:color w:val="0000EE"/>
              </w:rPr>
            </w:pPr>
            <w:hyperlink r:id="rId80">
              <w:r>
                <w:rPr>
                  <w:rFonts w:ascii="Times New Roman" w:cs="Times New Roman" w:eastAsia="Times New Roman" w:hAnsi="Times New Roman"/>
                  <w:sz w:val="14"/>
                  <w:szCs w:val="14"/>
                  <w:color w:val="0000EE"/>
                </w:rPr>
                <w:t>Bylaws (incorporated by reference to Exhibit 3.2 to the Registrant’s Current Report on Form 8-K filed on June 27, 2025)</w:t>
              </w:r>
            </w:hyperlink>
          </w:p>
        </w:tc>
      </w:tr>
      <w:tr>
        <w:trPr>
          <w:trHeight w:val="20"/>
        </w:trPr>
        <w:tc>
          <w:tcPr>
            <w:tcW w:w="50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0"/>
        </w:trPr>
        <w:tc>
          <w:tcPr>
            <w:tcW w:w="500" w:type="dxa"/>
            <w:vAlign w:val="bottom"/>
            <w:gridSpan w:val="2"/>
          </w:tcPr>
          <w:p>
            <w:pPr>
              <w:spacing w:after="0"/>
              <w:rPr>
                <w:sz w:val="24"/>
                <w:szCs w:val="24"/>
                <w:color w:val="auto"/>
              </w:rPr>
            </w:pPr>
          </w:p>
        </w:tc>
        <w:tc>
          <w:tcPr>
            <w:tcW w:w="180" w:type="dxa"/>
            <w:vAlign w:val="bottom"/>
            <w:tcBorders>
              <w:bottom w:val="single" w:sz="8" w:color="0000EE"/>
            </w:tcBorders>
          </w:tcPr>
          <w:p>
            <w:pPr>
              <w:jc w:val="right"/>
              <w:spacing w:after="0"/>
              <w:rPr>
                <w:rFonts w:ascii="Times New Roman" w:cs="Times New Roman" w:eastAsia="Times New Roman" w:hAnsi="Times New Roman"/>
                <w:sz w:val="14"/>
                <w:szCs w:val="14"/>
                <w:color w:val="0000EE"/>
                <w:w w:val="91"/>
              </w:rPr>
            </w:pPr>
            <w:hyperlink r:id="rId81">
              <w:r>
                <w:rPr>
                  <w:rFonts w:ascii="Times New Roman" w:cs="Times New Roman" w:eastAsia="Times New Roman" w:hAnsi="Times New Roman"/>
                  <w:sz w:val="14"/>
                  <w:szCs w:val="14"/>
                  <w:color w:val="0000EE"/>
                  <w:w w:val="91"/>
                </w:rPr>
                <w:t>4.</w:t>
              </w:r>
              <w:r>
                <w:rPr>
                  <w:rFonts w:ascii="Times New Roman" w:cs="Times New Roman" w:eastAsia="Times New Roman" w:hAnsi="Times New Roman"/>
                  <w:sz w:val="14"/>
                  <w:szCs w:val="14"/>
                  <w:u w:val="single" w:color="auto"/>
                  <w:color w:val="0000EE"/>
                  <w:w w:val="91"/>
                </w:rPr>
                <w:t>1</w:t>
              </w:r>
            </w:hyperlink>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900" w:type="dxa"/>
            <w:vAlign w:val="bottom"/>
            <w:tcBorders>
              <w:bottom w:val="single" w:sz="8" w:color="0000EE"/>
            </w:tcBorders>
            <w:gridSpan w:val="18"/>
          </w:tcPr>
          <w:p>
            <w:pPr>
              <w:spacing w:after="0"/>
              <w:rPr>
                <w:rFonts w:ascii="Times New Roman" w:cs="Times New Roman" w:eastAsia="Times New Roman" w:hAnsi="Times New Roman"/>
                <w:sz w:val="14"/>
                <w:szCs w:val="14"/>
                <w:color w:val="0000EE"/>
                <w:w w:val="97"/>
              </w:rPr>
            </w:pPr>
            <w:hyperlink r:id="rId81">
              <w:r>
                <w:rPr>
                  <w:rFonts w:ascii="Times New Roman" w:cs="Times New Roman" w:eastAsia="Times New Roman" w:hAnsi="Times New Roman"/>
                  <w:sz w:val="14"/>
                  <w:szCs w:val="14"/>
                  <w:color w:val="0000EE"/>
                  <w:w w:val="97"/>
                </w:rPr>
                <w:t>Indenture, dated as of March 12, 2026, by and between Hanover Bancorp, Inc. and UMB Bank, N.A., as trustee (incorporated by reference to Exhibit 4.1 to the Registrant’s Current</w:t>
              </w:r>
            </w:hyperlink>
          </w:p>
        </w:tc>
      </w:tr>
      <w:tr>
        <w:trPr>
          <w:trHeight w:val="145"/>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540" w:type="dxa"/>
            <w:vAlign w:val="bottom"/>
            <w:tcBorders>
              <w:bottom w:val="single" w:sz="8" w:color="0000EE"/>
            </w:tcBorders>
            <w:gridSpan w:val="5"/>
          </w:tcPr>
          <w:p>
            <w:pPr>
              <w:spacing w:after="0" w:line="145" w:lineRule="exact"/>
              <w:rPr>
                <w:rFonts w:ascii="Times New Roman" w:cs="Times New Roman" w:eastAsia="Times New Roman" w:hAnsi="Times New Roman"/>
                <w:sz w:val="14"/>
                <w:szCs w:val="14"/>
                <w:color w:val="0000EE"/>
                <w:w w:val="97"/>
              </w:rPr>
            </w:pPr>
            <w:hyperlink r:id="rId81">
              <w:r>
                <w:rPr>
                  <w:rFonts w:ascii="Times New Roman" w:cs="Times New Roman" w:eastAsia="Times New Roman" w:hAnsi="Times New Roman"/>
                  <w:sz w:val="14"/>
                  <w:szCs w:val="14"/>
                  <w:color w:val="0000EE"/>
                  <w:w w:val="97"/>
                </w:rPr>
                <w:t>Report on Form 8-K filed on March 12, 2026)</w:t>
              </w:r>
            </w:hyperlink>
          </w:p>
        </w:tc>
        <w:tc>
          <w:tcPr>
            <w:tcW w:w="7360" w:type="dxa"/>
            <w:vAlign w:val="bottom"/>
            <w:gridSpan w:val="13"/>
          </w:tcPr>
          <w:p>
            <w:pPr>
              <w:spacing w:after="0"/>
              <w:rPr>
                <w:sz w:val="12"/>
                <w:szCs w:val="12"/>
                <w:color w:val="auto"/>
              </w:rPr>
            </w:pPr>
          </w:p>
        </w:tc>
      </w:tr>
      <w:tr>
        <w:trPr>
          <w:trHeight w:val="310"/>
        </w:trPr>
        <w:tc>
          <w:tcPr>
            <w:tcW w:w="500" w:type="dxa"/>
            <w:vAlign w:val="bottom"/>
            <w:gridSpan w:val="2"/>
          </w:tcPr>
          <w:p>
            <w:pPr>
              <w:spacing w:after="0"/>
              <w:rPr>
                <w:sz w:val="24"/>
                <w:szCs w:val="24"/>
                <w:color w:val="auto"/>
              </w:rPr>
            </w:pPr>
          </w:p>
        </w:tc>
        <w:tc>
          <w:tcPr>
            <w:tcW w:w="180" w:type="dxa"/>
            <w:vAlign w:val="bottom"/>
            <w:tcBorders>
              <w:bottom w:val="single" w:sz="8" w:color="0000EE"/>
            </w:tcBorders>
          </w:tcPr>
          <w:p>
            <w:pPr>
              <w:jc w:val="right"/>
              <w:spacing w:after="0"/>
              <w:rPr>
                <w:rFonts w:ascii="Times New Roman" w:cs="Times New Roman" w:eastAsia="Times New Roman" w:hAnsi="Times New Roman"/>
                <w:sz w:val="14"/>
                <w:szCs w:val="14"/>
                <w:color w:val="0000EE"/>
                <w:w w:val="91"/>
              </w:rPr>
            </w:pPr>
            <w:hyperlink r:id="rId81">
              <w:r>
                <w:rPr>
                  <w:rFonts w:ascii="Times New Roman" w:cs="Times New Roman" w:eastAsia="Times New Roman" w:hAnsi="Times New Roman"/>
                  <w:sz w:val="14"/>
                  <w:szCs w:val="14"/>
                  <w:color w:val="0000EE"/>
                  <w:w w:val="91"/>
                </w:rPr>
                <w:t>4.</w:t>
              </w:r>
              <w:r>
                <w:rPr>
                  <w:rFonts w:ascii="Times New Roman" w:cs="Times New Roman" w:eastAsia="Times New Roman" w:hAnsi="Times New Roman"/>
                  <w:sz w:val="14"/>
                  <w:szCs w:val="14"/>
                  <w:u w:val="single" w:color="auto"/>
                  <w:color w:val="0000EE"/>
                  <w:w w:val="91"/>
                </w:rPr>
                <w:t>2</w:t>
              </w:r>
            </w:hyperlink>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520" w:type="dxa"/>
            <w:vAlign w:val="bottom"/>
            <w:tcBorders>
              <w:bottom w:val="single" w:sz="8" w:color="0000EE"/>
            </w:tcBorders>
            <w:gridSpan w:val="15"/>
          </w:tcPr>
          <w:p>
            <w:pPr>
              <w:spacing w:after="0"/>
              <w:rPr>
                <w:rFonts w:ascii="Times New Roman" w:cs="Times New Roman" w:eastAsia="Times New Roman" w:hAnsi="Times New Roman"/>
                <w:sz w:val="14"/>
                <w:szCs w:val="14"/>
                <w:color w:val="0000EE"/>
                <w:w w:val="97"/>
              </w:rPr>
            </w:pPr>
            <w:hyperlink r:id="rId81">
              <w:r>
                <w:rPr>
                  <w:rFonts w:ascii="Times New Roman" w:cs="Times New Roman" w:eastAsia="Times New Roman" w:hAnsi="Times New Roman"/>
                  <w:sz w:val="14"/>
                  <w:szCs w:val="14"/>
                  <w:color w:val="0000EE"/>
                  <w:w w:val="97"/>
                </w:rPr>
                <w:t>Form of 7.25% Fixed-to-Floating Rate Subordinated Note due 2036 of Hanover Bancorp, Inc. (incorporated by reference to Exhibit 4.2 to the Registrant’s Current Report on</w:t>
              </w:r>
            </w:hyperlink>
          </w:p>
        </w:tc>
        <w:tc>
          <w:tcPr>
            <w:tcW w:w="380" w:type="dxa"/>
            <w:vAlign w:val="bottom"/>
            <w:gridSpan w:val="3"/>
          </w:tcPr>
          <w:p>
            <w:pPr>
              <w:spacing w:after="0"/>
              <w:rPr>
                <w:sz w:val="24"/>
                <w:szCs w:val="24"/>
                <w:color w:val="auto"/>
              </w:rPr>
            </w:pPr>
          </w:p>
        </w:tc>
      </w:tr>
      <w:tr>
        <w:trPr>
          <w:trHeight w:val="145"/>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60" w:type="dxa"/>
            <w:vAlign w:val="bottom"/>
            <w:tcBorders>
              <w:bottom w:val="single" w:sz="8" w:color="0000EE"/>
            </w:tcBorders>
            <w:gridSpan w:val="4"/>
          </w:tcPr>
          <w:p>
            <w:pPr>
              <w:spacing w:after="0" w:line="145" w:lineRule="exact"/>
              <w:rPr>
                <w:rFonts w:ascii="Times New Roman" w:cs="Times New Roman" w:eastAsia="Times New Roman" w:hAnsi="Times New Roman"/>
                <w:sz w:val="14"/>
                <w:szCs w:val="14"/>
                <w:color w:val="0000EE"/>
                <w:w w:val="97"/>
              </w:rPr>
            </w:pPr>
            <w:hyperlink r:id="rId81">
              <w:r>
                <w:rPr>
                  <w:rFonts w:ascii="Times New Roman" w:cs="Times New Roman" w:eastAsia="Times New Roman" w:hAnsi="Times New Roman"/>
                  <w:sz w:val="14"/>
                  <w:szCs w:val="14"/>
                  <w:color w:val="0000EE"/>
                  <w:w w:val="97"/>
                </w:rPr>
                <w:t>Form 8-K filed on March 12, 2026)</w:t>
              </w:r>
            </w:hyperlink>
          </w:p>
        </w:tc>
        <w:tc>
          <w:tcPr>
            <w:tcW w:w="7940" w:type="dxa"/>
            <w:vAlign w:val="bottom"/>
            <w:gridSpan w:val="14"/>
          </w:tcPr>
          <w:p>
            <w:pPr>
              <w:spacing w:after="0"/>
              <w:rPr>
                <w:sz w:val="12"/>
                <w:szCs w:val="12"/>
                <w:color w:val="auto"/>
              </w:rPr>
            </w:pPr>
          </w:p>
        </w:tc>
      </w:tr>
      <w:tr>
        <w:trPr>
          <w:trHeight w:val="310"/>
        </w:trPr>
        <w:tc>
          <w:tcPr>
            <w:tcW w:w="720" w:type="dxa"/>
            <w:vAlign w:val="bottom"/>
            <w:gridSpan w:val="4"/>
          </w:tcPr>
          <w:p>
            <w:pPr>
              <w:jc w:val="center"/>
              <w:ind w:left="411"/>
              <w:spacing w:after="0"/>
              <w:rPr>
                <w:sz w:val="20"/>
                <w:szCs w:val="20"/>
                <w:color w:val="auto"/>
              </w:rPr>
            </w:pPr>
            <w:r>
              <w:rPr>
                <w:rFonts w:ascii="Times New Roman" w:cs="Times New Roman" w:eastAsia="Times New Roman" w:hAnsi="Times New Roman"/>
                <w:sz w:val="14"/>
                <w:szCs w:val="14"/>
                <w:color w:val="0000EE"/>
                <w:w w:val="97"/>
              </w:rPr>
              <w:t>5.</w:t>
            </w:r>
            <w:r>
              <w:rPr>
                <w:rFonts w:ascii="Times New Roman" w:cs="Times New Roman" w:eastAsia="Times New Roman" w:hAnsi="Times New Roman"/>
                <w:sz w:val="14"/>
                <w:szCs w:val="14"/>
                <w:u w:val="single" w:color="auto"/>
                <w:color w:val="0000EE"/>
                <w:w w:val="97"/>
              </w:rPr>
              <w:t>1*</w:t>
            </w: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900" w:type="dxa"/>
            <w:vAlign w:val="bottom"/>
            <w:gridSpan w:val="18"/>
          </w:tcPr>
          <w:p>
            <w:pPr>
              <w:spacing w:after="0"/>
              <w:rPr>
                <w:sz w:val="20"/>
                <w:szCs w:val="20"/>
                <w:color w:val="auto"/>
              </w:rPr>
            </w:pPr>
            <w:r>
              <w:rPr>
                <w:rFonts w:ascii="Times New Roman" w:cs="Times New Roman" w:eastAsia="Times New Roman" w:hAnsi="Times New Roman"/>
                <w:sz w:val="14"/>
                <w:szCs w:val="14"/>
                <w:color w:val="0000EE"/>
              </w:rPr>
              <w:t>Opinion of Kilpatrick Townsend &amp; Stockton LLP</w:t>
            </w:r>
          </w:p>
        </w:tc>
      </w:tr>
      <w:tr>
        <w:trPr>
          <w:trHeight w:val="20"/>
        </w:trPr>
        <w:tc>
          <w:tcPr>
            <w:tcW w:w="500" w:type="dxa"/>
            <w:vAlign w:val="bottom"/>
            <w:tcBorders>
              <w:right w:val="single" w:sz="8" w:color="0000EE"/>
            </w:tcBorders>
            <w:gridSpan w:val="2"/>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0"/>
        </w:trPr>
        <w:tc>
          <w:tcPr>
            <w:tcW w:w="720" w:type="dxa"/>
            <w:vAlign w:val="bottom"/>
            <w:gridSpan w:val="4"/>
          </w:tcPr>
          <w:p>
            <w:pPr>
              <w:jc w:val="center"/>
              <w:ind w:left="411"/>
              <w:spacing w:after="0"/>
              <w:rPr>
                <w:rFonts w:ascii="Times New Roman" w:cs="Times New Roman" w:eastAsia="Times New Roman" w:hAnsi="Times New Roman"/>
                <w:sz w:val="14"/>
                <w:szCs w:val="14"/>
                <w:color w:val="0000EE"/>
                <w:w w:val="97"/>
              </w:rPr>
            </w:pPr>
            <w:hyperlink r:id="rId82">
              <w:r>
                <w:rPr>
                  <w:rFonts w:ascii="Times New Roman" w:cs="Times New Roman" w:eastAsia="Times New Roman" w:hAnsi="Times New Roman"/>
                  <w:sz w:val="14"/>
                  <w:szCs w:val="14"/>
                  <w:color w:val="0000EE"/>
                  <w:w w:val="97"/>
                </w:rPr>
                <w:t>10.</w:t>
              </w:r>
              <w:r>
                <w:rPr>
                  <w:rFonts w:ascii="Times New Roman" w:cs="Times New Roman" w:eastAsia="Times New Roman" w:hAnsi="Times New Roman"/>
                  <w:sz w:val="14"/>
                  <w:szCs w:val="14"/>
                  <w:u w:val="single" w:color="auto"/>
                  <w:color w:val="0000EE"/>
                  <w:w w:val="97"/>
                </w:rPr>
                <w:t>1</w:t>
              </w:r>
            </w:hyperlink>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900" w:type="dxa"/>
            <w:vAlign w:val="bottom"/>
            <w:gridSpan w:val="18"/>
          </w:tcPr>
          <w:p>
            <w:pPr>
              <w:spacing w:after="0"/>
              <w:rPr>
                <w:rFonts w:ascii="Times New Roman" w:cs="Times New Roman" w:eastAsia="Times New Roman" w:hAnsi="Times New Roman"/>
                <w:sz w:val="14"/>
                <w:szCs w:val="14"/>
                <w:color w:val="0000EE"/>
                <w:w w:val="98"/>
              </w:rPr>
            </w:pPr>
            <w:hyperlink r:id="rId82">
              <w:r>
                <w:rPr>
                  <w:rFonts w:ascii="Times New Roman" w:cs="Times New Roman" w:eastAsia="Times New Roman" w:hAnsi="Times New Roman"/>
                  <w:sz w:val="14"/>
                  <w:szCs w:val="14"/>
                  <w:color w:val="0000EE"/>
                  <w:w w:val="98"/>
                </w:rPr>
                <w:t>Form of Subordinated Note Purchase Agreement, dated as of March 12, 2026, by and among Hanover Bancorp, Inc. and the several Purchasers identified therein (incorporated by</w:t>
              </w:r>
            </w:hyperlink>
          </w:p>
        </w:tc>
      </w:tr>
      <w:tr>
        <w:trPr>
          <w:trHeight w:val="145"/>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0" w:type="dxa"/>
            <w:vAlign w:val="bottom"/>
            <w:tcBorders>
              <w:top w:val="single" w:sz="8" w:color="0000EE"/>
            </w:tcBorders>
            <w:gridSpan w:val="16"/>
          </w:tcPr>
          <w:p>
            <w:pPr>
              <w:spacing w:after="0" w:line="145" w:lineRule="exact"/>
              <w:rPr>
                <w:rFonts w:ascii="Times New Roman" w:cs="Times New Roman" w:eastAsia="Times New Roman" w:hAnsi="Times New Roman"/>
                <w:sz w:val="14"/>
                <w:szCs w:val="14"/>
                <w:color w:val="0000EE"/>
              </w:rPr>
            </w:pPr>
            <w:hyperlink r:id="rId82">
              <w:r>
                <w:rPr>
                  <w:rFonts w:ascii="Times New Roman" w:cs="Times New Roman" w:eastAsia="Times New Roman" w:hAnsi="Times New Roman"/>
                  <w:sz w:val="14"/>
                  <w:szCs w:val="14"/>
                  <w:color w:val="0000EE"/>
                </w:rPr>
                <w:t>reference to Exhibit 10.1 to the Registrant’s Current Report on Form 8-K filed on March 12, 2026)</w:t>
              </w:r>
            </w:hyperlink>
          </w:p>
        </w:tc>
        <w:tc>
          <w:tcPr>
            <w:tcW w:w="100" w:type="dxa"/>
            <w:vAlign w:val="bottom"/>
            <w:gridSpan w:val="2"/>
          </w:tcPr>
          <w:p>
            <w:pPr>
              <w:spacing w:after="0"/>
              <w:rPr>
                <w:sz w:val="12"/>
                <w:szCs w:val="12"/>
                <w:color w:val="auto"/>
              </w:rPr>
            </w:pPr>
          </w:p>
        </w:tc>
      </w:tr>
      <w:tr>
        <w:trPr>
          <w:trHeight w:val="20"/>
        </w:trPr>
        <w:tc>
          <w:tcPr>
            <w:tcW w:w="5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500" w:type="dxa"/>
            <w:vAlign w:val="bottom"/>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0"/>
        </w:trPr>
        <w:tc>
          <w:tcPr>
            <w:tcW w:w="720" w:type="dxa"/>
            <w:vAlign w:val="bottom"/>
            <w:gridSpan w:val="4"/>
          </w:tcPr>
          <w:p>
            <w:pPr>
              <w:jc w:val="center"/>
              <w:ind w:left="411"/>
              <w:spacing w:after="0"/>
              <w:rPr>
                <w:rFonts w:ascii="Times New Roman" w:cs="Times New Roman" w:eastAsia="Times New Roman" w:hAnsi="Times New Roman"/>
                <w:sz w:val="14"/>
                <w:szCs w:val="14"/>
                <w:color w:val="0000EE"/>
                <w:w w:val="97"/>
              </w:rPr>
            </w:pPr>
            <w:hyperlink r:id="rId83">
              <w:r>
                <w:rPr>
                  <w:rFonts w:ascii="Times New Roman" w:cs="Times New Roman" w:eastAsia="Times New Roman" w:hAnsi="Times New Roman"/>
                  <w:sz w:val="14"/>
                  <w:szCs w:val="14"/>
                  <w:color w:val="0000EE"/>
                  <w:w w:val="97"/>
                </w:rPr>
                <w:t>10.</w:t>
              </w:r>
              <w:r>
                <w:rPr>
                  <w:rFonts w:ascii="Times New Roman" w:cs="Times New Roman" w:eastAsia="Times New Roman" w:hAnsi="Times New Roman"/>
                  <w:sz w:val="14"/>
                  <w:szCs w:val="14"/>
                  <w:u w:val="single" w:color="auto"/>
                  <w:color w:val="0000EE"/>
                  <w:w w:val="97"/>
                </w:rPr>
                <w:t>2</w:t>
              </w:r>
            </w:hyperlink>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900" w:type="dxa"/>
            <w:vAlign w:val="bottom"/>
            <w:gridSpan w:val="18"/>
          </w:tcPr>
          <w:p>
            <w:pPr>
              <w:spacing w:after="0"/>
              <w:rPr>
                <w:rFonts w:ascii="Times New Roman" w:cs="Times New Roman" w:eastAsia="Times New Roman" w:hAnsi="Times New Roman"/>
                <w:sz w:val="14"/>
                <w:szCs w:val="14"/>
                <w:color w:val="0000EE"/>
                <w:w w:val="98"/>
              </w:rPr>
            </w:pPr>
            <w:hyperlink r:id="rId83">
              <w:r>
                <w:rPr>
                  <w:rFonts w:ascii="Times New Roman" w:cs="Times New Roman" w:eastAsia="Times New Roman" w:hAnsi="Times New Roman"/>
                  <w:sz w:val="14"/>
                  <w:szCs w:val="14"/>
                  <w:color w:val="0000EE"/>
                  <w:w w:val="98"/>
                </w:rPr>
                <w:t>Form of Registration Rights Agreement, dated as of March 12, 2026, by and among Hanover Bancorp, Inc. and the several Purchasers identified therein (incorporated by reference</w:t>
              </w:r>
            </w:hyperlink>
          </w:p>
        </w:tc>
      </w:tr>
      <w:tr>
        <w:trPr>
          <w:trHeight w:val="145"/>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60" w:type="dxa"/>
            <w:vAlign w:val="bottom"/>
            <w:tcBorders>
              <w:top w:val="single" w:sz="8" w:color="0000EE"/>
            </w:tcBorders>
            <w:gridSpan w:val="17"/>
          </w:tcPr>
          <w:p>
            <w:pPr>
              <w:spacing w:after="0" w:line="145" w:lineRule="exact"/>
              <w:rPr>
                <w:rFonts w:ascii="Times New Roman" w:cs="Times New Roman" w:eastAsia="Times New Roman" w:hAnsi="Times New Roman"/>
                <w:sz w:val="14"/>
                <w:szCs w:val="14"/>
                <w:color w:val="0000EE"/>
              </w:rPr>
            </w:pPr>
            <w:hyperlink r:id="rId83">
              <w:r>
                <w:rPr>
                  <w:rFonts w:ascii="Times New Roman" w:cs="Times New Roman" w:eastAsia="Times New Roman" w:hAnsi="Times New Roman"/>
                  <w:sz w:val="14"/>
                  <w:szCs w:val="14"/>
                  <w:color w:val="0000EE"/>
                </w:rPr>
                <w:t>to Exhibit 10.2 to the Registrant’s Current Report on Form 8-K filed on March 12, 2026)</w:t>
              </w:r>
            </w:hyperlink>
          </w:p>
        </w:tc>
        <w:tc>
          <w:tcPr>
            <w:tcW w:w="40" w:type="dxa"/>
            <w:vAlign w:val="bottom"/>
          </w:tcPr>
          <w:p>
            <w:pPr>
              <w:spacing w:after="0"/>
              <w:rPr>
                <w:sz w:val="12"/>
                <w:szCs w:val="12"/>
                <w:color w:val="auto"/>
              </w:rPr>
            </w:pPr>
          </w:p>
        </w:tc>
      </w:tr>
      <w:tr>
        <w:trPr>
          <w:trHeight w:val="20"/>
        </w:trPr>
        <w:tc>
          <w:tcPr>
            <w:tcW w:w="5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500" w:type="dxa"/>
            <w:vAlign w:val="bottom"/>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68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140" w:type="dxa"/>
            <w:vAlign w:val="bottom"/>
            <w:gridSpan w:val="4"/>
          </w:tcPr>
          <w:p>
            <w:pPr>
              <w:spacing w:after="0" w:line="20" w:lineRule="exact"/>
              <w:rPr>
                <w:sz w:val="1"/>
                <w:szCs w:val="1"/>
                <w:color w:val="auto"/>
              </w:rPr>
            </w:pPr>
          </w:p>
        </w:tc>
      </w:tr>
      <w:tr>
        <w:trPr>
          <w:trHeight w:val="310"/>
        </w:trPr>
        <w:tc>
          <w:tcPr>
            <w:tcW w:w="720" w:type="dxa"/>
            <w:vAlign w:val="bottom"/>
            <w:gridSpan w:val="4"/>
          </w:tcPr>
          <w:p>
            <w:pPr>
              <w:jc w:val="center"/>
              <w:ind w:left="411"/>
              <w:spacing w:after="0"/>
              <w:rPr>
                <w:rFonts w:ascii="Times New Roman" w:cs="Times New Roman" w:eastAsia="Times New Roman" w:hAnsi="Times New Roman"/>
                <w:sz w:val="14"/>
                <w:szCs w:val="14"/>
                <w:color w:val="0000EE"/>
                <w:w w:val="97"/>
              </w:rPr>
            </w:pPr>
            <w:hyperlink r:id="rId84">
              <w:r>
                <w:rPr>
                  <w:rFonts w:ascii="Times New Roman" w:cs="Times New Roman" w:eastAsia="Times New Roman" w:hAnsi="Times New Roman"/>
                  <w:sz w:val="14"/>
                  <w:szCs w:val="14"/>
                  <w:color w:val="0000EE"/>
                  <w:w w:val="97"/>
                </w:rPr>
                <w:t>21.</w:t>
              </w:r>
              <w:r>
                <w:rPr>
                  <w:rFonts w:ascii="Times New Roman" w:cs="Times New Roman" w:eastAsia="Times New Roman" w:hAnsi="Times New Roman"/>
                  <w:sz w:val="14"/>
                  <w:szCs w:val="14"/>
                  <w:u w:val="single" w:color="auto"/>
                  <w:color w:val="0000EE"/>
                  <w:w w:val="97"/>
                </w:rPr>
                <w:t>1</w:t>
              </w:r>
            </w:hyperlink>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900" w:type="dxa"/>
            <w:vAlign w:val="bottom"/>
            <w:gridSpan w:val="18"/>
          </w:tcPr>
          <w:p>
            <w:pPr>
              <w:spacing w:after="0"/>
              <w:rPr>
                <w:rFonts w:ascii="Times New Roman" w:cs="Times New Roman" w:eastAsia="Times New Roman" w:hAnsi="Times New Roman"/>
                <w:sz w:val="14"/>
                <w:szCs w:val="14"/>
                <w:color w:val="0000EE"/>
              </w:rPr>
            </w:pPr>
            <w:hyperlink r:id="rId84">
              <w:r>
                <w:rPr>
                  <w:rFonts w:ascii="Times New Roman" w:cs="Times New Roman" w:eastAsia="Times New Roman" w:hAnsi="Times New Roman"/>
                  <w:sz w:val="14"/>
                  <w:szCs w:val="14"/>
                  <w:color w:val="0000EE"/>
                </w:rPr>
                <w:t>Subsidiaries of the Company (incorporated by reference to Exhibit 21 of the Company’s Annual Report on Form 10-K filed March 13, 2026)</w:t>
              </w:r>
            </w:hyperlink>
          </w:p>
        </w:tc>
      </w:tr>
      <w:tr>
        <w:trPr>
          <w:trHeight w:val="20"/>
        </w:trPr>
        <w:tc>
          <w:tcPr>
            <w:tcW w:w="500" w:type="dxa"/>
            <w:vAlign w:val="bottom"/>
            <w:tcBorders>
              <w:right w:val="single" w:sz="8" w:color="0000EE"/>
            </w:tcBorders>
            <w:gridSpan w:val="2"/>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500" w:type="dxa"/>
            <w:vAlign w:val="bottom"/>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80" w:type="dxa"/>
            <w:vAlign w:val="bottom"/>
            <w:gridSpan w:val="4"/>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140" w:type="dxa"/>
            <w:vAlign w:val="bottom"/>
            <w:gridSpan w:val="4"/>
          </w:tcPr>
          <w:p>
            <w:pPr>
              <w:spacing w:after="0" w:line="20" w:lineRule="exact"/>
              <w:rPr>
                <w:sz w:val="1"/>
                <w:szCs w:val="1"/>
                <w:color w:val="auto"/>
              </w:rPr>
            </w:pPr>
          </w:p>
        </w:tc>
      </w:tr>
      <w:tr>
        <w:trPr>
          <w:trHeight w:val="310"/>
        </w:trPr>
        <w:tc>
          <w:tcPr>
            <w:tcW w:w="500" w:type="dxa"/>
            <w:vAlign w:val="bottom"/>
            <w:gridSpan w:val="2"/>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0000EE"/>
                <w:w w:val="75"/>
              </w:rPr>
              <w:t>23.</w:t>
            </w:r>
            <w:r>
              <w:rPr>
                <w:rFonts w:ascii="Times New Roman" w:cs="Times New Roman" w:eastAsia="Times New Roman" w:hAnsi="Times New Roman"/>
                <w:sz w:val="13"/>
                <w:szCs w:val="13"/>
                <w:u w:val="single" w:color="auto"/>
                <w:color w:val="0000EE"/>
                <w:w w:val="75"/>
              </w:rPr>
              <w:t>1*</w:t>
            </w: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900" w:type="dxa"/>
            <w:vAlign w:val="bottom"/>
            <w:gridSpan w:val="18"/>
          </w:tcPr>
          <w:p>
            <w:pPr>
              <w:spacing w:after="0"/>
              <w:rPr>
                <w:sz w:val="20"/>
                <w:szCs w:val="20"/>
                <w:color w:val="auto"/>
              </w:rPr>
            </w:pPr>
            <w:r>
              <w:rPr>
                <w:rFonts w:ascii="Times New Roman" w:cs="Times New Roman" w:eastAsia="Times New Roman" w:hAnsi="Times New Roman"/>
                <w:sz w:val="14"/>
                <w:szCs w:val="14"/>
                <w:color w:val="0000EE"/>
              </w:rPr>
              <w:t>Consent of Crowe LLP</w:t>
            </w:r>
          </w:p>
        </w:tc>
      </w:tr>
      <w:tr>
        <w:trPr>
          <w:trHeight w:val="20"/>
        </w:trPr>
        <w:tc>
          <w:tcPr>
            <w:tcW w:w="500" w:type="dxa"/>
            <w:vAlign w:val="bottom"/>
            <w:tcBorders>
              <w:right w:val="single" w:sz="8" w:color="0000EE"/>
            </w:tcBorders>
            <w:gridSpan w:val="2"/>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80" w:type="dxa"/>
            <w:vAlign w:val="bottom"/>
            <w:gridSpan w:val="4"/>
          </w:tcPr>
          <w:p>
            <w:pPr>
              <w:spacing w:after="0" w:line="20" w:lineRule="exact"/>
              <w:rPr>
                <w:sz w:val="1"/>
                <w:szCs w:val="1"/>
                <w:color w:val="auto"/>
              </w:rPr>
            </w:pPr>
          </w:p>
        </w:tc>
        <w:tc>
          <w:tcPr>
            <w:tcW w:w="2340" w:type="dxa"/>
            <w:vAlign w:val="bottom"/>
            <w:gridSpan w:val="6"/>
          </w:tcPr>
          <w:p>
            <w:pPr>
              <w:spacing w:after="0" w:line="20" w:lineRule="exact"/>
              <w:rPr>
                <w:sz w:val="1"/>
                <w:szCs w:val="1"/>
                <w:color w:val="auto"/>
              </w:rPr>
            </w:pPr>
          </w:p>
        </w:tc>
      </w:tr>
      <w:tr>
        <w:trPr>
          <w:trHeight w:val="310"/>
        </w:trPr>
        <w:tc>
          <w:tcPr>
            <w:tcW w:w="500" w:type="dxa"/>
            <w:vAlign w:val="bottom"/>
            <w:gridSpan w:val="2"/>
          </w:tcPr>
          <w:p>
            <w:pPr>
              <w:spacing w:after="0"/>
              <w:rPr>
                <w:sz w:val="24"/>
                <w:szCs w:val="24"/>
                <w:color w:val="auto"/>
              </w:rPr>
            </w:pPr>
          </w:p>
        </w:tc>
        <w:tc>
          <w:tcPr>
            <w:tcW w:w="22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3"/>
                <w:szCs w:val="13"/>
                <w:color w:val="0000EE"/>
                <w:w w:val="75"/>
              </w:rPr>
              <w:t>23.</w:t>
            </w:r>
            <w:r>
              <w:rPr>
                <w:rFonts w:ascii="Times New Roman" w:cs="Times New Roman" w:eastAsia="Times New Roman" w:hAnsi="Times New Roman"/>
                <w:sz w:val="13"/>
                <w:szCs w:val="13"/>
                <w:u w:val="single" w:color="auto"/>
                <w:color w:val="0000EE"/>
                <w:w w:val="75"/>
              </w:rPr>
              <w:t>2*</w:t>
            </w: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12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4"/>
                <w:szCs w:val="14"/>
                <w:color w:val="0000EE"/>
                <w:w w:val="97"/>
              </w:rPr>
              <w:t>Consent of Kilpatrick Townsend &amp; Stockton LLP (included in Exhibit 5.1)</w:t>
            </w:r>
          </w:p>
        </w:tc>
        <w:tc>
          <w:tcPr>
            <w:tcW w:w="5780" w:type="dxa"/>
            <w:vAlign w:val="bottom"/>
            <w:gridSpan w:val="11"/>
          </w:tcPr>
          <w:p>
            <w:pPr>
              <w:spacing w:after="0"/>
              <w:rPr>
                <w:sz w:val="24"/>
                <w:szCs w:val="24"/>
                <w:color w:val="auto"/>
              </w:rPr>
            </w:pPr>
          </w:p>
        </w:tc>
      </w:tr>
      <w:tr>
        <w:trPr>
          <w:trHeight w:val="310"/>
        </w:trPr>
        <w:tc>
          <w:tcPr>
            <w:tcW w:w="72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0000EE"/>
              </w:rPr>
              <w:t>24.</w:t>
            </w:r>
            <w:r>
              <w:rPr>
                <w:rFonts w:ascii="Times New Roman" w:cs="Times New Roman" w:eastAsia="Times New Roman" w:hAnsi="Times New Roman"/>
                <w:sz w:val="14"/>
                <w:szCs w:val="14"/>
                <w:u w:val="single" w:color="auto"/>
                <w:color w:val="0000EE"/>
              </w:rPr>
              <w:t>1*</w:t>
            </w: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900" w:type="dxa"/>
            <w:vAlign w:val="bottom"/>
            <w:gridSpan w:val="18"/>
          </w:tcPr>
          <w:p>
            <w:pPr>
              <w:spacing w:after="0"/>
              <w:rPr>
                <w:sz w:val="20"/>
                <w:szCs w:val="20"/>
                <w:color w:val="auto"/>
              </w:rPr>
            </w:pPr>
            <w:r>
              <w:rPr>
                <w:rFonts w:ascii="Times New Roman" w:cs="Times New Roman" w:eastAsia="Times New Roman" w:hAnsi="Times New Roman"/>
                <w:sz w:val="14"/>
                <w:szCs w:val="14"/>
                <w:color w:val="0000EE"/>
              </w:rPr>
              <w:t>Power of Attorney (included on signature pages to this registration statement)</w:t>
            </w:r>
          </w:p>
        </w:tc>
      </w:tr>
      <w:tr>
        <w:trPr>
          <w:trHeight w:val="20"/>
        </w:trPr>
        <w:tc>
          <w:tcPr>
            <w:tcW w:w="500" w:type="dxa"/>
            <w:vAlign w:val="bottom"/>
            <w:tcBorders>
              <w:right w:val="single" w:sz="8" w:color="0000EE"/>
            </w:tcBorders>
            <w:gridSpan w:val="2"/>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660" w:type="dxa"/>
            <w:vAlign w:val="bottom"/>
            <w:gridSpan w:val="5"/>
            <w:shd w:val="clear" w:color="auto" w:fill="0000EE"/>
          </w:tcPr>
          <w:p>
            <w:pPr>
              <w:spacing w:after="0" w:line="20" w:lineRule="exact"/>
              <w:rPr>
                <w:sz w:val="1"/>
                <w:szCs w:val="1"/>
                <w:color w:val="auto"/>
              </w:rPr>
            </w:pPr>
          </w:p>
        </w:tc>
        <w:tc>
          <w:tcPr>
            <w:tcW w:w="3280" w:type="dxa"/>
            <w:vAlign w:val="bottom"/>
            <w:gridSpan w:val="4"/>
          </w:tcPr>
          <w:p>
            <w:pPr>
              <w:spacing w:after="0" w:line="20" w:lineRule="exact"/>
              <w:rPr>
                <w:sz w:val="1"/>
                <w:szCs w:val="1"/>
                <w:color w:val="auto"/>
              </w:rPr>
            </w:pPr>
          </w:p>
        </w:tc>
        <w:tc>
          <w:tcPr>
            <w:tcW w:w="2340" w:type="dxa"/>
            <w:vAlign w:val="bottom"/>
            <w:gridSpan w:val="6"/>
          </w:tcPr>
          <w:p>
            <w:pPr>
              <w:spacing w:after="0" w:line="20" w:lineRule="exact"/>
              <w:rPr>
                <w:sz w:val="1"/>
                <w:szCs w:val="1"/>
                <w:color w:val="auto"/>
              </w:rPr>
            </w:pPr>
          </w:p>
        </w:tc>
      </w:tr>
      <w:tr>
        <w:trPr>
          <w:trHeight w:val="310"/>
        </w:trPr>
        <w:tc>
          <w:tcPr>
            <w:tcW w:w="500" w:type="dxa"/>
            <w:vAlign w:val="bottom"/>
            <w:gridSpan w:val="2"/>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0000EE"/>
                <w:w w:val="75"/>
              </w:rPr>
              <w:t>25.</w:t>
            </w:r>
            <w:r>
              <w:rPr>
                <w:rFonts w:ascii="Times New Roman" w:cs="Times New Roman" w:eastAsia="Times New Roman" w:hAnsi="Times New Roman"/>
                <w:sz w:val="13"/>
                <w:szCs w:val="13"/>
                <w:u w:val="single" w:color="auto"/>
                <w:color w:val="0000EE"/>
                <w:w w:val="75"/>
              </w:rPr>
              <w:t>1*</w:t>
            </w: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900" w:type="dxa"/>
            <w:vAlign w:val="bottom"/>
            <w:gridSpan w:val="18"/>
          </w:tcPr>
          <w:p>
            <w:pPr>
              <w:spacing w:after="0"/>
              <w:rPr>
                <w:sz w:val="20"/>
                <w:szCs w:val="20"/>
                <w:color w:val="auto"/>
              </w:rPr>
            </w:pPr>
            <w:r>
              <w:rPr>
                <w:rFonts w:ascii="Times New Roman" w:cs="Times New Roman" w:eastAsia="Times New Roman" w:hAnsi="Times New Roman"/>
                <w:sz w:val="14"/>
                <w:szCs w:val="14"/>
                <w:color w:val="0000EE"/>
              </w:rPr>
              <w:t>Form T-1 Statement of Eligibility under the Trust Indenture Act of 1939, as amended, of UMB Bank, N.A. as Trustee under the Indenture</w:t>
            </w:r>
          </w:p>
        </w:tc>
      </w:tr>
      <w:tr>
        <w:trPr>
          <w:trHeight w:val="310"/>
        </w:trPr>
        <w:tc>
          <w:tcPr>
            <w:tcW w:w="500" w:type="dxa"/>
            <w:vAlign w:val="bottom"/>
            <w:gridSpan w:val="2"/>
          </w:tcPr>
          <w:p>
            <w:pPr>
              <w:spacing w:after="0"/>
              <w:rPr>
                <w:sz w:val="24"/>
                <w:szCs w:val="24"/>
                <w:color w:val="auto"/>
              </w:rPr>
            </w:pPr>
          </w:p>
        </w:tc>
        <w:tc>
          <w:tcPr>
            <w:tcW w:w="220" w:type="dxa"/>
            <w:vAlign w:val="bottom"/>
            <w:tcBorders>
              <w:top w:val="single" w:sz="8" w:color="0000EE"/>
            </w:tcBorders>
            <w:gridSpan w:val="2"/>
          </w:tcPr>
          <w:p>
            <w:pPr>
              <w:jc w:val="right"/>
              <w:spacing w:after="0"/>
              <w:rPr>
                <w:sz w:val="20"/>
                <w:szCs w:val="20"/>
                <w:color w:val="auto"/>
              </w:rPr>
            </w:pPr>
            <w:r>
              <w:rPr>
                <w:rFonts w:ascii="Times New Roman" w:cs="Times New Roman" w:eastAsia="Times New Roman" w:hAnsi="Times New Roman"/>
                <w:sz w:val="13"/>
                <w:szCs w:val="13"/>
                <w:color w:val="0000EE"/>
                <w:w w:val="75"/>
              </w:rPr>
              <w:t>99.</w:t>
            </w:r>
            <w:r>
              <w:rPr>
                <w:rFonts w:ascii="Times New Roman" w:cs="Times New Roman" w:eastAsia="Times New Roman" w:hAnsi="Times New Roman"/>
                <w:sz w:val="13"/>
                <w:szCs w:val="13"/>
                <w:u w:val="single" w:color="auto"/>
                <w:color w:val="0000EE"/>
                <w:w w:val="75"/>
              </w:rPr>
              <w:t>1*</w:t>
            </w: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560" w:type="dxa"/>
            <w:vAlign w:val="bottom"/>
            <w:tcBorders>
              <w:top w:val="single" w:sz="8" w:color="0000EE"/>
            </w:tcBorders>
            <w:gridSpan w:val="12"/>
          </w:tcPr>
          <w:p>
            <w:pPr>
              <w:spacing w:after="0"/>
              <w:rPr>
                <w:sz w:val="20"/>
                <w:szCs w:val="20"/>
                <w:color w:val="auto"/>
              </w:rPr>
            </w:pPr>
            <w:r>
              <w:rPr>
                <w:rFonts w:ascii="Times New Roman" w:cs="Times New Roman" w:eastAsia="Times New Roman" w:hAnsi="Times New Roman"/>
                <w:sz w:val="14"/>
                <w:szCs w:val="14"/>
                <w:color w:val="0000EE"/>
              </w:rPr>
              <w:t>Form of Letter of Transmittal</w:t>
            </w:r>
          </w:p>
        </w:tc>
        <w:tc>
          <w:tcPr>
            <w:tcW w:w="2340" w:type="dxa"/>
            <w:vAlign w:val="bottom"/>
            <w:gridSpan w:val="6"/>
          </w:tcPr>
          <w:p>
            <w:pPr>
              <w:spacing w:after="0"/>
              <w:rPr>
                <w:sz w:val="24"/>
                <w:szCs w:val="24"/>
                <w:color w:val="auto"/>
              </w:rPr>
            </w:pPr>
          </w:p>
        </w:tc>
      </w:tr>
      <w:tr>
        <w:trPr>
          <w:trHeight w:val="310"/>
        </w:trPr>
        <w:tc>
          <w:tcPr>
            <w:tcW w:w="500" w:type="dxa"/>
            <w:vAlign w:val="bottom"/>
            <w:gridSpan w:val="2"/>
          </w:tcPr>
          <w:p>
            <w:pPr>
              <w:spacing w:after="0"/>
              <w:rPr>
                <w:sz w:val="24"/>
                <w:szCs w:val="24"/>
                <w:color w:val="auto"/>
              </w:rPr>
            </w:pPr>
          </w:p>
        </w:tc>
        <w:tc>
          <w:tcPr>
            <w:tcW w:w="220" w:type="dxa"/>
            <w:vAlign w:val="bottom"/>
            <w:tcBorders>
              <w:top w:val="single" w:sz="8" w:color="0000EE"/>
            </w:tcBorders>
            <w:gridSpan w:val="2"/>
          </w:tcPr>
          <w:p>
            <w:pPr>
              <w:jc w:val="center"/>
              <w:spacing w:after="0"/>
              <w:rPr>
                <w:sz w:val="20"/>
                <w:szCs w:val="20"/>
                <w:color w:val="auto"/>
              </w:rPr>
            </w:pPr>
            <w:r>
              <w:rPr>
                <w:rFonts w:ascii="Times New Roman" w:cs="Times New Roman" w:eastAsia="Times New Roman" w:hAnsi="Times New Roman"/>
                <w:sz w:val="14"/>
                <w:szCs w:val="14"/>
                <w:color w:val="0000EE"/>
                <w:w w:val="85"/>
              </w:rPr>
              <w:t>107*</w:t>
            </w: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4"/>
                <w:szCs w:val="14"/>
                <w:color w:val="0000EE"/>
              </w:rPr>
              <w:t>Filing Fee Table</w:t>
            </w:r>
          </w:p>
        </w:tc>
        <w:tc>
          <w:tcPr>
            <w:tcW w:w="8280" w:type="dxa"/>
            <w:vAlign w:val="bottom"/>
            <w:gridSpan w:val="15"/>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156845</wp:posOffset>
            </wp:positionV>
            <wp:extent cx="1792605" cy="63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1792605" cy="6350"/>
                    </a:xfrm>
                    <a:prstGeom prst="rect">
                      <a:avLst/>
                    </a:prstGeom>
                    <a:noFill/>
                  </pic:spPr>
                </pic:pic>
              </a:graphicData>
            </a:graphic>
          </wp:anchor>
        </w:drawing>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Filed herewith.</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17145</wp:posOffset>
            </wp:positionV>
            <wp:extent cx="7164705" cy="63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6">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724" w:right="3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color w:val="auto"/>
        </w:rPr>
        <w:t>(b)            Financial Statement Schedules</w:t>
      </w:r>
    </w:p>
    <w:p>
      <w:pPr>
        <w:spacing w:after="0" w:line="173" w:lineRule="exact"/>
        <w:rPr>
          <w:sz w:val="20"/>
          <w:szCs w:val="20"/>
          <w:color w:val="auto"/>
        </w:rPr>
      </w:pPr>
    </w:p>
    <w:p>
      <w:pPr>
        <w:ind w:right="40" w:firstLine="495"/>
        <w:spacing w:after="0" w:line="258" w:lineRule="auto"/>
        <w:rPr>
          <w:sz w:val="20"/>
          <w:szCs w:val="20"/>
          <w:color w:val="auto"/>
        </w:rPr>
      </w:pPr>
      <w:r>
        <w:rPr>
          <w:rFonts w:ascii="Times New Roman" w:cs="Times New Roman" w:eastAsia="Times New Roman" w:hAnsi="Times New Roman"/>
          <w:sz w:val="14"/>
          <w:szCs w:val="14"/>
          <w:color w:val="auto"/>
        </w:rPr>
        <w:t>All schedules for which provision is made in the applicable accounting regulations of the Securities and Exchange Commission (“SEC”) have been omitted because they are not required, amounts which would otherwise be required to be shown with respect to any item are not material, are inapplicable or the required information has already been provided elsewhere or incorporated by reference in the registration statement.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22.                 Undertakings</w:t>
      </w:r>
    </w:p>
    <w:p>
      <w:pPr>
        <w:spacing w:after="0" w:line="17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The undersigned registrant hereby undertakes:</w:t>
      </w:r>
    </w:p>
    <w:p>
      <w:pPr>
        <w:spacing w:after="0" w:line="169" w:lineRule="exact"/>
        <w:rPr>
          <w:sz w:val="20"/>
          <w:szCs w:val="20"/>
          <w:color w:val="auto"/>
        </w:rPr>
      </w:pPr>
    </w:p>
    <w:p>
      <w:pPr>
        <w:ind w:left="1000" w:hanging="503"/>
        <w:spacing w:after="0"/>
        <w:tabs>
          <w:tab w:leader="none" w:pos="100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file, during any period in which offers or sales are being made, a post-effective amendment to this registration statement:</w:t>
      </w:r>
    </w:p>
    <w:p>
      <w:pPr>
        <w:spacing w:after="0" w:line="168" w:lineRule="exact"/>
        <w:rPr>
          <w:rFonts w:ascii="Times New Roman" w:cs="Times New Roman" w:eastAsia="Times New Roman" w:hAnsi="Times New Roman"/>
          <w:sz w:val="14"/>
          <w:szCs w:val="14"/>
          <w:color w:val="auto"/>
        </w:rPr>
      </w:pPr>
    </w:p>
    <w:p>
      <w:pPr>
        <w:ind w:left="1480" w:hanging="488"/>
        <w:spacing w:after="0"/>
        <w:tabs>
          <w:tab w:leader="none" w:pos="1480" w:val="left"/>
        </w:tabs>
        <w:numPr>
          <w:ilvl w:val="1"/>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prospectus required by Section 10(a)(3) of the Securities Act of 1933, as amended (the “Securities Act”);</w:t>
      </w:r>
    </w:p>
    <w:p>
      <w:pPr>
        <w:spacing w:after="0" w:line="168" w:lineRule="exact"/>
        <w:rPr>
          <w:rFonts w:ascii="Times New Roman" w:cs="Times New Roman" w:eastAsia="Times New Roman" w:hAnsi="Times New Roman"/>
          <w:sz w:val="14"/>
          <w:szCs w:val="14"/>
          <w:color w:val="auto"/>
        </w:rPr>
      </w:pPr>
    </w:p>
    <w:p>
      <w:pPr>
        <w:ind w:left="1480" w:right="20" w:hanging="488"/>
        <w:spacing w:after="0" w:line="276" w:lineRule="auto"/>
        <w:tabs>
          <w:tab w:leader="none" w:pos="1480" w:val="left"/>
        </w:tabs>
        <w:numPr>
          <w:ilvl w:val="1"/>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the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29" w:lineRule="exact"/>
        <w:rPr>
          <w:rFonts w:ascii="Times New Roman" w:cs="Times New Roman" w:eastAsia="Times New Roman" w:hAnsi="Times New Roman"/>
          <w:sz w:val="13"/>
          <w:szCs w:val="13"/>
          <w:color w:val="auto"/>
        </w:rPr>
      </w:pPr>
    </w:p>
    <w:p>
      <w:pPr>
        <w:ind w:left="1480" w:right="20" w:hanging="488"/>
        <w:spacing w:after="0" w:line="271" w:lineRule="auto"/>
        <w:tabs>
          <w:tab w:leader="none" w:pos="1480" w:val="left"/>
        </w:tabs>
        <w:numPr>
          <w:ilvl w:val="1"/>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material information with respect to the plan of distribution not previously disclosed in the registration statement or any material change to such information in the registration statement.</w:t>
      </w:r>
    </w:p>
    <w:p>
      <w:pPr>
        <w:spacing w:after="0" w:line="131" w:lineRule="exact"/>
        <w:rPr>
          <w:rFonts w:ascii="Times New Roman" w:cs="Times New Roman" w:eastAsia="Times New Roman" w:hAnsi="Times New Roman"/>
          <w:sz w:val="14"/>
          <w:szCs w:val="14"/>
          <w:color w:val="auto"/>
        </w:rPr>
      </w:pPr>
    </w:p>
    <w:p>
      <w:pPr>
        <w:ind w:left="1000" w:hanging="503"/>
        <w:spacing w:after="0" w:line="271" w:lineRule="auto"/>
        <w:tabs>
          <w:tab w:leader="none" w:pos="100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31" w:lineRule="exact"/>
        <w:rPr>
          <w:rFonts w:ascii="Times New Roman" w:cs="Times New Roman" w:eastAsia="Times New Roman" w:hAnsi="Times New Roman"/>
          <w:sz w:val="14"/>
          <w:szCs w:val="14"/>
          <w:color w:val="auto"/>
        </w:rPr>
      </w:pPr>
    </w:p>
    <w:p>
      <w:pPr>
        <w:ind w:left="1000" w:hanging="503"/>
        <w:spacing w:after="0"/>
        <w:tabs>
          <w:tab w:leader="none" w:pos="100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remove from registration by means of a post-effective amendment any of the securities being registered which remain unsold at the termination of the offering.</w:t>
      </w:r>
    </w:p>
    <w:p>
      <w:pPr>
        <w:spacing w:after="0" w:line="168" w:lineRule="exact"/>
        <w:rPr>
          <w:rFonts w:ascii="Times New Roman" w:cs="Times New Roman" w:eastAsia="Times New Roman" w:hAnsi="Times New Roman"/>
          <w:sz w:val="14"/>
          <w:szCs w:val="14"/>
          <w:color w:val="auto"/>
        </w:rPr>
      </w:pPr>
    </w:p>
    <w:p>
      <w:pPr>
        <w:ind w:left="1000" w:right="140" w:hanging="503"/>
        <w:spacing w:after="0" w:line="250" w:lineRule="auto"/>
        <w:tabs>
          <w:tab w:leader="none" w:pos="100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That, for the purpose of determining liability under the Securities Act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wp:posOffset>
            </wp:positionV>
            <wp:extent cx="7164705" cy="63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7">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60"/>
          </w:cols>
          <w:pgMar w:left="300" w:top="720" w:right="339" w:bottom="1440" w:gutter="0" w:footer="0" w:header="0"/>
        </w:sectPr>
      </w:pPr>
    </w:p>
    <w:bookmarkStart w:id="56" w:name="page57"/>
    <w:bookmarkEnd w:id="56"/>
    <w:p>
      <w:pPr>
        <w:ind w:left="503" w:right="100" w:hanging="503"/>
        <w:spacing w:after="0" w:line="254" w:lineRule="auto"/>
        <w:tabs>
          <w:tab w:leader="none" w:pos="503"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42" w:lineRule="exact"/>
        <w:rPr>
          <w:rFonts w:ascii="Times New Roman" w:cs="Times New Roman" w:eastAsia="Times New Roman" w:hAnsi="Times New Roman"/>
          <w:sz w:val="14"/>
          <w:szCs w:val="14"/>
          <w:color w:val="auto"/>
        </w:rPr>
      </w:pPr>
    </w:p>
    <w:p>
      <w:pPr>
        <w:ind w:left="983" w:hanging="488"/>
        <w:spacing w:after="0"/>
        <w:tabs>
          <w:tab w:leader="none" w:pos="983" w:val="left"/>
        </w:tabs>
        <w:numPr>
          <w:ilvl w:val="1"/>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preliminary prospectus or prospectus of the undersigned registrant relating to the offering required to be filed pursuant to Rule 424;</w:t>
      </w:r>
    </w:p>
    <w:p>
      <w:pPr>
        <w:spacing w:after="0" w:line="168" w:lineRule="exact"/>
        <w:rPr>
          <w:rFonts w:ascii="Times New Roman" w:cs="Times New Roman" w:eastAsia="Times New Roman" w:hAnsi="Times New Roman"/>
          <w:sz w:val="14"/>
          <w:szCs w:val="14"/>
          <w:color w:val="auto"/>
        </w:rPr>
      </w:pPr>
    </w:p>
    <w:p>
      <w:pPr>
        <w:ind w:left="983" w:hanging="488"/>
        <w:spacing w:after="0"/>
        <w:tabs>
          <w:tab w:leader="none" w:pos="983" w:val="left"/>
        </w:tabs>
        <w:numPr>
          <w:ilvl w:val="1"/>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free writing prospectus relating to the offering prepared by or on behalf of the undersigned registrant or used or referred to by the undersigned registrant;</w:t>
      </w:r>
    </w:p>
    <w:p>
      <w:pPr>
        <w:spacing w:after="0" w:line="168" w:lineRule="exact"/>
        <w:rPr>
          <w:rFonts w:ascii="Times New Roman" w:cs="Times New Roman" w:eastAsia="Times New Roman" w:hAnsi="Times New Roman"/>
          <w:sz w:val="14"/>
          <w:szCs w:val="14"/>
          <w:color w:val="auto"/>
        </w:rPr>
      </w:pPr>
    </w:p>
    <w:p>
      <w:pPr>
        <w:ind w:left="983" w:right="60" w:hanging="488"/>
        <w:spacing w:after="0" w:line="271" w:lineRule="auto"/>
        <w:tabs>
          <w:tab w:leader="none" w:pos="983" w:val="left"/>
        </w:tabs>
        <w:numPr>
          <w:ilvl w:val="1"/>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portion of any other free writing prospectus relating to the offering containing material information about the undersigned registrant or its securities provided by or on behalf of the undersigned registrant; and</w:t>
      </w:r>
    </w:p>
    <w:p>
      <w:pPr>
        <w:spacing w:after="0" w:line="131" w:lineRule="exact"/>
        <w:rPr>
          <w:rFonts w:ascii="Times New Roman" w:cs="Times New Roman" w:eastAsia="Times New Roman" w:hAnsi="Times New Roman"/>
          <w:sz w:val="14"/>
          <w:szCs w:val="14"/>
          <w:color w:val="auto"/>
        </w:rPr>
      </w:pPr>
    </w:p>
    <w:p>
      <w:pPr>
        <w:ind w:left="983" w:hanging="488"/>
        <w:spacing w:after="0"/>
        <w:tabs>
          <w:tab w:leader="none" w:pos="983" w:val="left"/>
        </w:tabs>
        <w:numPr>
          <w:ilvl w:val="1"/>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communication that is an offer in the offering made by the undersigned registrant to the purchaser.</w:t>
      </w:r>
    </w:p>
    <w:p>
      <w:pPr>
        <w:spacing w:after="0" w:line="168" w:lineRule="exact"/>
        <w:rPr>
          <w:rFonts w:ascii="Times New Roman" w:cs="Times New Roman" w:eastAsia="Times New Roman" w:hAnsi="Times New Roman"/>
          <w:sz w:val="14"/>
          <w:szCs w:val="14"/>
          <w:color w:val="auto"/>
        </w:rPr>
      </w:pPr>
    </w:p>
    <w:p>
      <w:pPr>
        <w:ind w:left="503" w:right="100" w:hanging="503"/>
        <w:spacing w:after="0" w:line="254" w:lineRule="auto"/>
        <w:tabs>
          <w:tab w:leader="none" w:pos="503"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That, for purposes of determining any liability under the Securities Act, each filing of the registrant’s annual report pursuant to Section 13(a) or Section 15(d) of the Securities Exchange Act of 1934, as amended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4"/>
          <w:szCs w:val="14"/>
          <w:i w:val="1"/>
          <w:iCs w:val="1"/>
          <w:color w:val="auto"/>
        </w:rPr>
        <w:t>bona fide</w:t>
      </w:r>
      <w:r>
        <w:rPr>
          <w:rFonts w:ascii="Times New Roman" w:cs="Times New Roman" w:eastAsia="Times New Roman" w:hAnsi="Times New Roman"/>
          <w:sz w:val="14"/>
          <w:szCs w:val="14"/>
          <w:color w:val="auto"/>
        </w:rPr>
        <w:t xml:space="preserve"> offering thereof.</w:t>
      </w:r>
    </w:p>
    <w:p>
      <w:pPr>
        <w:spacing w:after="0" w:line="142" w:lineRule="exact"/>
        <w:rPr>
          <w:rFonts w:ascii="Times New Roman" w:cs="Times New Roman" w:eastAsia="Times New Roman" w:hAnsi="Times New Roman"/>
          <w:sz w:val="14"/>
          <w:szCs w:val="14"/>
          <w:color w:val="auto"/>
        </w:rPr>
      </w:pPr>
    </w:p>
    <w:p>
      <w:pPr>
        <w:jc w:val="both"/>
        <w:ind w:left="503" w:hanging="503"/>
        <w:spacing w:after="0" w:line="258" w:lineRule="auto"/>
        <w:tabs>
          <w:tab w:leader="none" w:pos="503"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respond to requests for information that is incorporated by reference into the prospectus pursuant to Items 4, 10(b), 11 or 13 of this Form, within one (1)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140" w:lineRule="exact"/>
        <w:rPr>
          <w:rFonts w:ascii="Times New Roman" w:cs="Times New Roman" w:eastAsia="Times New Roman" w:hAnsi="Times New Roman"/>
          <w:sz w:val="14"/>
          <w:szCs w:val="14"/>
          <w:color w:val="auto"/>
        </w:rPr>
      </w:pPr>
    </w:p>
    <w:p>
      <w:pPr>
        <w:ind w:left="503" w:right="60" w:hanging="503"/>
        <w:spacing w:after="0" w:line="271" w:lineRule="auto"/>
        <w:tabs>
          <w:tab w:leader="none" w:pos="503"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supply by means of a post-effective amendment all information concerning a transaction, and the company being acquired involved therein, that was not the subject of and included in this registration statement when it became effective.</w:t>
      </w:r>
    </w:p>
    <w:p>
      <w:pPr>
        <w:spacing w:after="0" w:line="131" w:lineRule="exact"/>
        <w:rPr>
          <w:rFonts w:ascii="Times New Roman" w:cs="Times New Roman" w:eastAsia="Times New Roman" w:hAnsi="Times New Roman"/>
          <w:sz w:val="14"/>
          <w:szCs w:val="14"/>
          <w:color w:val="auto"/>
        </w:rPr>
      </w:pPr>
    </w:p>
    <w:p>
      <w:pPr>
        <w:ind w:left="503" w:right="40" w:hanging="503"/>
        <w:spacing w:after="0" w:line="273" w:lineRule="auto"/>
        <w:tabs>
          <w:tab w:leader="none" w:pos="503"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299" w:lineRule="exact"/>
        <w:rPr>
          <w:sz w:val="20"/>
          <w:szCs w:val="20"/>
          <w:color w:val="auto"/>
        </w:rPr>
      </w:pPr>
    </w:p>
    <w:p>
      <w:pPr>
        <w:jc w:val="center"/>
        <w:ind w:right="457"/>
        <w:spacing w:after="0"/>
        <w:rPr>
          <w:sz w:val="20"/>
          <w:szCs w:val="20"/>
          <w:color w:val="auto"/>
        </w:rPr>
      </w:pPr>
      <w:r>
        <w:rPr>
          <w:rFonts w:ascii="Times New Roman" w:cs="Times New Roman" w:eastAsia="Times New Roman" w:hAnsi="Times New Roman"/>
          <w:sz w:val="14"/>
          <w:szCs w:val="14"/>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10795</wp:posOffset>
            </wp:positionV>
            <wp:extent cx="7164705" cy="63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8">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0763"/>
          </w:cols>
          <w:pgMar w:left="797" w:top="724" w:right="33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73" w:lineRule="exact"/>
        <w:rPr>
          <w:sz w:val="20"/>
          <w:szCs w:val="20"/>
          <w:color w:val="auto"/>
        </w:rPr>
      </w:pPr>
    </w:p>
    <w:p>
      <w:pPr>
        <w:ind w:right="360" w:firstLine="495"/>
        <w:spacing w:after="0" w:line="271"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as amended, the Registrant has duly caused this Registration Statement on Form S-4 to be signed on its behalf by the undersigned, thereunto duly authorized, in the Village of Mineola, State of New York, on June 4, 2026.</w:t>
      </w:r>
    </w:p>
    <w:p>
      <w:pPr>
        <w:spacing w:after="0" w:line="1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4"/>
          <w:szCs w:val="14"/>
          <w:b w:val="1"/>
          <w:bCs w:val="1"/>
          <w:color w:val="auto"/>
        </w:rPr>
        <w:t>HANOVER BANCORP, INC.</w:t>
      </w:r>
    </w:p>
    <w:p>
      <w:pPr>
        <w:spacing w:after="0" w:line="173" w:lineRule="exact"/>
        <w:rPr>
          <w:sz w:val="20"/>
          <w:szCs w:val="20"/>
          <w:color w:val="auto"/>
        </w:rPr>
      </w:pPr>
    </w:p>
    <w:p>
      <w:pPr>
        <w:ind w:left="5640"/>
        <w:spacing w:after="0"/>
        <w:tabs>
          <w:tab w:leader="none" w:pos="5960" w:val="left"/>
        </w:tabs>
        <w:rPr>
          <w:sz w:val="20"/>
          <w:szCs w:val="20"/>
          <w:color w:val="auto"/>
        </w:rPr>
      </w:pPr>
      <w:r>
        <w:rPr>
          <w:rFonts w:ascii="Times New Roman" w:cs="Times New Roman" w:eastAsia="Times New Roman" w:hAnsi="Times New Roman"/>
          <w:sz w:val="14"/>
          <w:szCs w:val="14"/>
          <w:color w:val="auto"/>
        </w:rPr>
        <w:t>By:</w:t>
        <w:tab/>
        <w:t>/s/ Michael P. Puorro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3803015</wp:posOffset>
            </wp:positionH>
            <wp:positionV relativeFrom="paragraph">
              <wp:posOffset>10795</wp:posOffset>
            </wp:positionV>
            <wp:extent cx="3362960" cy="63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9">
                      <a:extLst>
                        <a:ext uri="{28A0092B-C50C-407E-A947-70E740481C1C}"/>
                      </a:extLst>
                    </a:blip>
                    <a:srcRect/>
                    <a:stretch>
                      <a:fillRect/>
                    </a:stretch>
                  </pic:blipFill>
                  <pic:spPr bwMode="auto">
                    <a:xfrm>
                      <a:off x="0" y="0"/>
                      <a:ext cx="3362960" cy="6350"/>
                    </a:xfrm>
                    <a:prstGeom prst="rect">
                      <a:avLst/>
                    </a:prstGeom>
                    <a:noFill/>
                  </pic:spPr>
                </pic:pic>
              </a:graphicData>
            </a:graphic>
          </wp:anchor>
        </w:drawing>
      </w:r>
    </w:p>
    <w:p>
      <w:pPr>
        <w:ind w:left="5980"/>
        <w:spacing w:after="0"/>
        <w:rPr>
          <w:sz w:val="20"/>
          <w:szCs w:val="20"/>
          <w:color w:val="auto"/>
        </w:rPr>
      </w:pPr>
      <w:r>
        <w:rPr>
          <w:rFonts w:ascii="Times New Roman" w:cs="Times New Roman" w:eastAsia="Times New Roman" w:hAnsi="Times New Roman"/>
          <w:sz w:val="14"/>
          <w:szCs w:val="14"/>
          <w:color w:val="auto"/>
        </w:rPr>
        <w:t>Michael P. Puorro</w:t>
      </w:r>
    </w:p>
    <w:p>
      <w:pPr>
        <w:spacing w:after="0" w:line="14"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4"/>
          <w:szCs w:val="14"/>
          <w:color w:val="auto"/>
        </w:rPr>
        <w:t>Chairman, President and Chief Executive Officer</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173" w:lineRule="exact"/>
        <w:rPr>
          <w:sz w:val="20"/>
          <w:szCs w:val="20"/>
          <w:color w:val="auto"/>
        </w:rPr>
      </w:pPr>
    </w:p>
    <w:p>
      <w:pPr>
        <w:ind w:right="100" w:firstLine="495"/>
        <w:spacing w:after="0" w:line="250" w:lineRule="auto"/>
        <w:rPr>
          <w:sz w:val="20"/>
          <w:szCs w:val="20"/>
          <w:color w:val="auto"/>
        </w:rPr>
      </w:pPr>
      <w:r>
        <w:rPr>
          <w:rFonts w:ascii="Times New Roman" w:cs="Times New Roman" w:eastAsia="Times New Roman" w:hAnsi="Times New Roman"/>
          <w:sz w:val="14"/>
          <w:szCs w:val="14"/>
          <w:color w:val="auto"/>
        </w:rPr>
        <w:t>Each person whose signature appears below constitutes and appoints each of Michael P. Puorro and Lance P. Burke, with full power to act without the other, his or her true and lawful attorney-in-fact and agent, with full and several power of substitution, for him or her and in his or her name, place and stead, in any and all capacities, to sign any or all amendments, including post-effective amendments, to this registration statement and to file the same, with all exhibits thereto and other documents in connection therewith, with the Securities and Exchange Commission and any applicable securities exchange or securities self-regulatory body, granting unto said attorneys-in-fact and agents full power and authority to do and perform each and every act and thing requisite and necessary to be done in and about the premises, as fully to all intents and purposes as they or he might or could do in person, hereby ratifying and confirming all that said attorneys-in-fact and agents as his, her or their substitute or substitutes, may lawfully do or cause to be done by virtue hereof.</w:t>
      </w:r>
    </w:p>
    <w:p>
      <w:pPr>
        <w:spacing w:after="0" w:line="14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Pursuant to the requirements of the Securities Act of 1933, as amended, this Registration Statement has been signed by the following persons in the capacities and on the dates indicated.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16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340" w:type="dxa"/>
            <w:vAlign w:val="bottom"/>
          </w:tcPr>
          <w:p>
            <w:pPr>
              <w:spacing w:after="0"/>
              <w:rPr>
                <w:sz w:val="15"/>
                <w:szCs w:val="15"/>
                <w:color w:val="auto"/>
              </w:rPr>
            </w:pPr>
          </w:p>
        </w:tc>
        <w:tc>
          <w:tcPr>
            <w:tcW w:w="4300" w:type="dxa"/>
            <w:vAlign w:val="bottom"/>
            <w:tcBorders>
              <w:bottom w:val="single" w:sz="8" w:color="auto"/>
            </w:tcBorders>
          </w:tcPr>
          <w:p>
            <w:pPr>
              <w:ind w:left="202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340" w:type="dxa"/>
            <w:vAlign w:val="bottom"/>
          </w:tcPr>
          <w:p>
            <w:pPr>
              <w:spacing w:after="0"/>
              <w:rPr>
                <w:sz w:val="15"/>
                <w:szCs w:val="15"/>
                <w:color w:val="auto"/>
              </w:rPr>
            </w:pPr>
          </w:p>
        </w:tc>
        <w:tc>
          <w:tcPr>
            <w:tcW w:w="3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Date</w:t>
            </w:r>
          </w:p>
        </w:tc>
      </w:tr>
      <w:tr>
        <w:trPr>
          <w:trHeight w:val="320"/>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Michael P. Puorro</w:t>
            </w:r>
          </w:p>
        </w:tc>
        <w:tc>
          <w:tcPr>
            <w:tcW w:w="4980" w:type="dxa"/>
            <w:vAlign w:val="bottom"/>
            <w:gridSpan w:val="3"/>
          </w:tcPr>
          <w:p>
            <w:pPr>
              <w:ind w:left="340"/>
              <w:spacing w:after="0"/>
              <w:rPr>
                <w:sz w:val="20"/>
                <w:szCs w:val="20"/>
                <w:color w:val="auto"/>
              </w:rPr>
            </w:pPr>
            <w:r>
              <w:rPr>
                <w:rFonts w:ascii="Times New Roman" w:cs="Times New Roman" w:eastAsia="Times New Roman" w:hAnsi="Times New Roman"/>
                <w:sz w:val="14"/>
                <w:szCs w:val="14"/>
                <w:color w:val="auto"/>
              </w:rPr>
              <w:t>Chairman, President and Chief Executive Officer</w:t>
            </w:r>
          </w:p>
        </w:tc>
        <w:tc>
          <w:tcPr>
            <w:tcW w:w="3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June 4, 2026</w:t>
            </w:r>
          </w:p>
        </w:tc>
      </w:tr>
      <w:tr>
        <w:trPr>
          <w:trHeight w:val="169"/>
        </w:trPr>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Michael P. Puorro</w:t>
            </w:r>
          </w:p>
        </w:tc>
        <w:tc>
          <w:tcPr>
            <w:tcW w:w="4980" w:type="dxa"/>
            <w:vAlign w:val="bottom"/>
            <w:gridSpan w:val="3"/>
          </w:tcPr>
          <w:p>
            <w:pPr>
              <w:ind w:left="340"/>
              <w:spacing w:after="0" w:line="159" w:lineRule="exact"/>
              <w:rPr>
                <w:sz w:val="20"/>
                <w:szCs w:val="20"/>
                <w:color w:val="auto"/>
              </w:rPr>
            </w:pPr>
            <w:r>
              <w:rPr>
                <w:rFonts w:ascii="Times New Roman" w:cs="Times New Roman" w:eastAsia="Times New Roman" w:hAnsi="Times New Roman"/>
                <w:sz w:val="14"/>
                <w:szCs w:val="14"/>
                <w:color w:val="auto"/>
              </w:rPr>
              <w:t>(Principal Executive Officer)</w:t>
            </w:r>
          </w:p>
        </w:tc>
        <w:tc>
          <w:tcPr>
            <w:tcW w:w="3140" w:type="dxa"/>
            <w:vAlign w:val="bottom"/>
          </w:tcPr>
          <w:p>
            <w:pPr>
              <w:spacing w:after="0"/>
              <w:rPr>
                <w:sz w:val="14"/>
                <w:szCs w:val="14"/>
                <w:color w:val="auto"/>
              </w:rPr>
            </w:pPr>
          </w:p>
        </w:tc>
      </w:tr>
      <w:tr>
        <w:trPr>
          <w:trHeight w:val="316"/>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Lance P. Burke</w:t>
            </w:r>
          </w:p>
        </w:tc>
        <w:tc>
          <w:tcPr>
            <w:tcW w:w="4980" w:type="dxa"/>
            <w:vAlign w:val="bottom"/>
            <w:gridSpan w:val="3"/>
          </w:tcPr>
          <w:p>
            <w:pPr>
              <w:ind w:left="340"/>
              <w:spacing w:after="0"/>
              <w:rPr>
                <w:sz w:val="20"/>
                <w:szCs w:val="20"/>
                <w:color w:val="auto"/>
              </w:rPr>
            </w:pPr>
            <w:r>
              <w:rPr>
                <w:rFonts w:ascii="Times New Roman" w:cs="Times New Roman" w:eastAsia="Times New Roman" w:hAnsi="Times New Roman"/>
                <w:sz w:val="14"/>
                <w:szCs w:val="14"/>
                <w:color w:val="auto"/>
              </w:rPr>
              <w:t>Senior Executive Vice President and Chief Financial Officer</w:t>
            </w:r>
          </w:p>
        </w:tc>
        <w:tc>
          <w:tcPr>
            <w:tcW w:w="3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June 4, 2026</w:t>
            </w:r>
          </w:p>
        </w:tc>
      </w:tr>
      <w:tr>
        <w:trPr>
          <w:trHeight w:val="169"/>
        </w:trPr>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Lance P. Burke</w:t>
            </w:r>
          </w:p>
        </w:tc>
        <w:tc>
          <w:tcPr>
            <w:tcW w:w="4980" w:type="dxa"/>
            <w:vAlign w:val="bottom"/>
            <w:gridSpan w:val="3"/>
          </w:tcPr>
          <w:p>
            <w:pPr>
              <w:ind w:left="340"/>
              <w:spacing w:after="0" w:line="159" w:lineRule="exact"/>
              <w:rPr>
                <w:sz w:val="20"/>
                <w:szCs w:val="20"/>
                <w:color w:val="auto"/>
              </w:rPr>
            </w:pPr>
            <w:r>
              <w:rPr>
                <w:rFonts w:ascii="Times New Roman" w:cs="Times New Roman" w:eastAsia="Times New Roman" w:hAnsi="Times New Roman"/>
                <w:sz w:val="14"/>
                <w:szCs w:val="14"/>
                <w:color w:val="auto"/>
              </w:rPr>
              <w:t>(Principal Financial Officer)</w:t>
            </w:r>
          </w:p>
        </w:tc>
        <w:tc>
          <w:tcPr>
            <w:tcW w:w="3140" w:type="dxa"/>
            <w:vAlign w:val="bottom"/>
          </w:tcPr>
          <w:p>
            <w:pPr>
              <w:spacing w:after="0"/>
              <w:rPr>
                <w:sz w:val="14"/>
                <w:szCs w:val="14"/>
                <w:color w:val="auto"/>
              </w:rPr>
            </w:pPr>
          </w:p>
        </w:tc>
      </w:tr>
      <w:tr>
        <w:trPr>
          <w:trHeight w:val="316"/>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Lisa A. Diiorio</w:t>
            </w:r>
          </w:p>
        </w:tc>
        <w:tc>
          <w:tcPr>
            <w:tcW w:w="4980" w:type="dxa"/>
            <w:vAlign w:val="bottom"/>
            <w:gridSpan w:val="3"/>
          </w:tcPr>
          <w:p>
            <w:pPr>
              <w:ind w:left="340"/>
              <w:spacing w:after="0"/>
              <w:rPr>
                <w:sz w:val="20"/>
                <w:szCs w:val="20"/>
                <w:color w:val="auto"/>
              </w:rPr>
            </w:pPr>
            <w:r>
              <w:rPr>
                <w:rFonts w:ascii="Times New Roman" w:cs="Times New Roman" w:eastAsia="Times New Roman" w:hAnsi="Times New Roman"/>
                <w:sz w:val="14"/>
                <w:szCs w:val="14"/>
                <w:color w:val="auto"/>
              </w:rPr>
              <w:t>First Senior Vice President and Chief Accounting Officer</w:t>
            </w:r>
          </w:p>
        </w:tc>
        <w:tc>
          <w:tcPr>
            <w:tcW w:w="3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June 4, 2026</w:t>
            </w:r>
          </w:p>
        </w:tc>
      </w:tr>
      <w:tr>
        <w:trPr>
          <w:trHeight w:val="169"/>
        </w:trPr>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Lisa A. Diiorio</w:t>
            </w:r>
          </w:p>
        </w:tc>
        <w:tc>
          <w:tcPr>
            <w:tcW w:w="4980" w:type="dxa"/>
            <w:vAlign w:val="bottom"/>
            <w:gridSpan w:val="3"/>
          </w:tcPr>
          <w:p>
            <w:pPr>
              <w:ind w:left="340"/>
              <w:spacing w:after="0" w:line="159" w:lineRule="exact"/>
              <w:rPr>
                <w:sz w:val="20"/>
                <w:szCs w:val="20"/>
                <w:color w:val="auto"/>
              </w:rPr>
            </w:pPr>
            <w:r>
              <w:rPr>
                <w:rFonts w:ascii="Times New Roman" w:cs="Times New Roman" w:eastAsia="Times New Roman" w:hAnsi="Times New Roman"/>
                <w:sz w:val="14"/>
                <w:szCs w:val="14"/>
                <w:color w:val="auto"/>
              </w:rPr>
              <w:t>(Principal Accounting Officer)</w:t>
            </w:r>
          </w:p>
        </w:tc>
        <w:tc>
          <w:tcPr>
            <w:tcW w:w="3140" w:type="dxa"/>
            <w:vAlign w:val="bottom"/>
          </w:tcPr>
          <w:p>
            <w:pPr>
              <w:spacing w:after="0"/>
              <w:rPr>
                <w:sz w:val="14"/>
                <w:szCs w:val="14"/>
                <w:color w:val="auto"/>
              </w:rPr>
            </w:pPr>
          </w:p>
        </w:tc>
      </w:tr>
      <w:tr>
        <w:trPr>
          <w:trHeight w:val="316"/>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Varkey Abraham</w:t>
            </w:r>
          </w:p>
        </w:tc>
        <w:tc>
          <w:tcPr>
            <w:tcW w:w="4980" w:type="dxa"/>
            <w:vAlign w:val="bottom"/>
            <w:gridSpan w:val="3"/>
          </w:tcPr>
          <w:p>
            <w:pPr>
              <w:ind w:left="340"/>
              <w:spacing w:after="0"/>
              <w:rPr>
                <w:sz w:val="20"/>
                <w:szCs w:val="20"/>
                <w:color w:val="auto"/>
              </w:rPr>
            </w:pPr>
            <w:r>
              <w:rPr>
                <w:rFonts w:ascii="Times New Roman" w:cs="Times New Roman" w:eastAsia="Times New Roman" w:hAnsi="Times New Roman"/>
                <w:sz w:val="14"/>
                <w:szCs w:val="14"/>
                <w:color w:val="auto"/>
              </w:rPr>
              <w:t>Director</w:t>
            </w:r>
          </w:p>
        </w:tc>
        <w:tc>
          <w:tcPr>
            <w:tcW w:w="3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June 4, 2026</w:t>
            </w:r>
          </w:p>
        </w:tc>
      </w:tr>
      <w:tr>
        <w:trPr>
          <w:trHeight w:val="169"/>
        </w:trPr>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Varkey Abraham</w:t>
            </w:r>
          </w:p>
        </w:tc>
        <w:tc>
          <w:tcPr>
            <w:tcW w:w="34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140" w:type="dxa"/>
            <w:vAlign w:val="bottom"/>
          </w:tcPr>
          <w:p>
            <w:pPr>
              <w:spacing w:after="0"/>
              <w:rPr>
                <w:sz w:val="14"/>
                <w:szCs w:val="14"/>
                <w:color w:val="auto"/>
              </w:rPr>
            </w:pPr>
          </w:p>
        </w:tc>
      </w:tr>
      <w:tr>
        <w:trPr>
          <w:trHeight w:val="316"/>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Robert Golden</w:t>
            </w:r>
          </w:p>
        </w:tc>
        <w:tc>
          <w:tcPr>
            <w:tcW w:w="4980" w:type="dxa"/>
            <w:vAlign w:val="bottom"/>
            <w:gridSpan w:val="3"/>
          </w:tcPr>
          <w:p>
            <w:pPr>
              <w:ind w:left="340"/>
              <w:spacing w:after="0"/>
              <w:rPr>
                <w:sz w:val="20"/>
                <w:szCs w:val="20"/>
                <w:color w:val="auto"/>
              </w:rPr>
            </w:pPr>
            <w:r>
              <w:rPr>
                <w:rFonts w:ascii="Times New Roman" w:cs="Times New Roman" w:eastAsia="Times New Roman" w:hAnsi="Times New Roman"/>
                <w:sz w:val="14"/>
                <w:szCs w:val="14"/>
                <w:color w:val="auto"/>
              </w:rPr>
              <w:t>Director</w:t>
            </w:r>
          </w:p>
        </w:tc>
        <w:tc>
          <w:tcPr>
            <w:tcW w:w="3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June 4, 2026</w:t>
            </w:r>
          </w:p>
        </w:tc>
      </w:tr>
      <w:tr>
        <w:trPr>
          <w:trHeight w:val="169"/>
        </w:trPr>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Robert Golden</w:t>
            </w:r>
          </w:p>
        </w:tc>
        <w:tc>
          <w:tcPr>
            <w:tcW w:w="34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140" w:type="dxa"/>
            <w:vAlign w:val="bottom"/>
          </w:tcPr>
          <w:p>
            <w:pPr>
              <w:spacing w:after="0"/>
              <w:rPr>
                <w:sz w:val="14"/>
                <w:szCs w:val="14"/>
                <w:color w:val="auto"/>
              </w:rPr>
            </w:pPr>
          </w:p>
        </w:tc>
      </w:tr>
      <w:tr>
        <w:trPr>
          <w:trHeight w:val="316"/>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Ahron Haspel</w:t>
            </w:r>
          </w:p>
        </w:tc>
        <w:tc>
          <w:tcPr>
            <w:tcW w:w="4980" w:type="dxa"/>
            <w:vAlign w:val="bottom"/>
            <w:gridSpan w:val="3"/>
          </w:tcPr>
          <w:p>
            <w:pPr>
              <w:ind w:left="340"/>
              <w:spacing w:after="0"/>
              <w:rPr>
                <w:sz w:val="20"/>
                <w:szCs w:val="20"/>
                <w:color w:val="auto"/>
              </w:rPr>
            </w:pPr>
            <w:r>
              <w:rPr>
                <w:rFonts w:ascii="Times New Roman" w:cs="Times New Roman" w:eastAsia="Times New Roman" w:hAnsi="Times New Roman"/>
                <w:sz w:val="14"/>
                <w:szCs w:val="14"/>
                <w:color w:val="auto"/>
              </w:rPr>
              <w:t>Director</w:t>
            </w:r>
          </w:p>
        </w:tc>
        <w:tc>
          <w:tcPr>
            <w:tcW w:w="3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June 4, 2026</w:t>
            </w:r>
          </w:p>
        </w:tc>
      </w:tr>
      <w:tr>
        <w:trPr>
          <w:trHeight w:val="169"/>
        </w:trPr>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Ahron Haspel</w:t>
            </w:r>
          </w:p>
        </w:tc>
        <w:tc>
          <w:tcPr>
            <w:tcW w:w="34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140" w:type="dxa"/>
            <w:vAlign w:val="bottom"/>
          </w:tcPr>
          <w:p>
            <w:pPr>
              <w:spacing w:after="0"/>
              <w:rPr>
                <w:sz w:val="14"/>
                <w:szCs w:val="14"/>
                <w:color w:val="auto"/>
              </w:rPr>
            </w:pPr>
          </w:p>
        </w:tc>
      </w:tr>
      <w:tr>
        <w:trPr>
          <w:trHeight w:val="316"/>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Michael Katz</w:t>
            </w:r>
          </w:p>
        </w:tc>
        <w:tc>
          <w:tcPr>
            <w:tcW w:w="4980" w:type="dxa"/>
            <w:vAlign w:val="bottom"/>
            <w:gridSpan w:val="3"/>
          </w:tcPr>
          <w:p>
            <w:pPr>
              <w:ind w:left="340"/>
              <w:spacing w:after="0"/>
              <w:rPr>
                <w:sz w:val="20"/>
                <w:szCs w:val="20"/>
                <w:color w:val="auto"/>
              </w:rPr>
            </w:pPr>
            <w:r>
              <w:rPr>
                <w:rFonts w:ascii="Times New Roman" w:cs="Times New Roman" w:eastAsia="Times New Roman" w:hAnsi="Times New Roman"/>
                <w:sz w:val="14"/>
                <w:szCs w:val="14"/>
                <w:color w:val="auto"/>
              </w:rPr>
              <w:t>Director</w:t>
            </w:r>
          </w:p>
        </w:tc>
        <w:tc>
          <w:tcPr>
            <w:tcW w:w="3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June 4, 2026</w:t>
            </w:r>
          </w:p>
        </w:tc>
      </w:tr>
      <w:tr>
        <w:trPr>
          <w:trHeight w:val="169"/>
        </w:trPr>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Michael Katz</w:t>
            </w:r>
          </w:p>
        </w:tc>
        <w:tc>
          <w:tcPr>
            <w:tcW w:w="34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140" w:type="dxa"/>
            <w:vAlign w:val="bottom"/>
          </w:tcPr>
          <w:p>
            <w:pPr>
              <w:spacing w:after="0"/>
              <w:rPr>
                <w:sz w:val="14"/>
                <w:szCs w:val="14"/>
                <w:color w:val="auto"/>
              </w:rPr>
            </w:pPr>
          </w:p>
        </w:tc>
      </w:tr>
      <w:tr>
        <w:trPr>
          <w:trHeight w:val="316"/>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Metin Negrin</w:t>
            </w:r>
          </w:p>
        </w:tc>
        <w:tc>
          <w:tcPr>
            <w:tcW w:w="4980" w:type="dxa"/>
            <w:vAlign w:val="bottom"/>
            <w:gridSpan w:val="3"/>
          </w:tcPr>
          <w:p>
            <w:pPr>
              <w:ind w:left="340"/>
              <w:spacing w:after="0"/>
              <w:rPr>
                <w:sz w:val="20"/>
                <w:szCs w:val="20"/>
                <w:color w:val="auto"/>
              </w:rPr>
            </w:pPr>
            <w:r>
              <w:rPr>
                <w:rFonts w:ascii="Times New Roman" w:cs="Times New Roman" w:eastAsia="Times New Roman" w:hAnsi="Times New Roman"/>
                <w:sz w:val="14"/>
                <w:szCs w:val="14"/>
                <w:color w:val="auto"/>
              </w:rPr>
              <w:t>Director</w:t>
            </w:r>
          </w:p>
        </w:tc>
        <w:tc>
          <w:tcPr>
            <w:tcW w:w="3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June 4, 2026</w:t>
            </w:r>
          </w:p>
        </w:tc>
      </w:tr>
      <w:tr>
        <w:trPr>
          <w:trHeight w:val="169"/>
        </w:trPr>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Metin Negrin</w:t>
            </w:r>
          </w:p>
        </w:tc>
        <w:tc>
          <w:tcPr>
            <w:tcW w:w="34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140" w:type="dxa"/>
            <w:vAlign w:val="bottom"/>
          </w:tcPr>
          <w:p>
            <w:pPr>
              <w:spacing w:after="0"/>
              <w:rPr>
                <w:sz w:val="14"/>
                <w:szCs w:val="14"/>
                <w:color w:val="auto"/>
              </w:rPr>
            </w:pPr>
          </w:p>
        </w:tc>
      </w:tr>
      <w:tr>
        <w:trPr>
          <w:trHeight w:val="316"/>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Philip Okun</w:t>
            </w:r>
          </w:p>
        </w:tc>
        <w:tc>
          <w:tcPr>
            <w:tcW w:w="4980" w:type="dxa"/>
            <w:vAlign w:val="bottom"/>
            <w:gridSpan w:val="3"/>
          </w:tcPr>
          <w:p>
            <w:pPr>
              <w:ind w:left="340"/>
              <w:spacing w:after="0"/>
              <w:rPr>
                <w:sz w:val="20"/>
                <w:szCs w:val="20"/>
                <w:color w:val="auto"/>
              </w:rPr>
            </w:pPr>
            <w:r>
              <w:rPr>
                <w:rFonts w:ascii="Times New Roman" w:cs="Times New Roman" w:eastAsia="Times New Roman" w:hAnsi="Times New Roman"/>
                <w:sz w:val="14"/>
                <w:szCs w:val="14"/>
                <w:color w:val="auto"/>
              </w:rPr>
              <w:t>Director</w:t>
            </w:r>
          </w:p>
        </w:tc>
        <w:tc>
          <w:tcPr>
            <w:tcW w:w="3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June 4, 2026</w:t>
            </w:r>
          </w:p>
        </w:tc>
      </w:tr>
      <w:tr>
        <w:trPr>
          <w:trHeight w:val="169"/>
        </w:trPr>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Philip Okun</w:t>
            </w:r>
          </w:p>
        </w:tc>
        <w:tc>
          <w:tcPr>
            <w:tcW w:w="34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140" w:type="dxa"/>
            <w:vAlign w:val="bottom"/>
          </w:tcPr>
          <w:p>
            <w:pPr>
              <w:spacing w:after="0"/>
              <w:rPr>
                <w:sz w:val="14"/>
                <w:szCs w:val="14"/>
                <w:color w:val="auto"/>
              </w:rPr>
            </w:pPr>
          </w:p>
        </w:tc>
      </w:tr>
      <w:tr>
        <w:trPr>
          <w:trHeight w:val="316"/>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Elena Sisti</w:t>
            </w:r>
          </w:p>
        </w:tc>
        <w:tc>
          <w:tcPr>
            <w:tcW w:w="4980" w:type="dxa"/>
            <w:vAlign w:val="bottom"/>
            <w:gridSpan w:val="3"/>
          </w:tcPr>
          <w:p>
            <w:pPr>
              <w:ind w:left="340"/>
              <w:spacing w:after="0"/>
              <w:rPr>
                <w:sz w:val="20"/>
                <w:szCs w:val="20"/>
                <w:color w:val="auto"/>
              </w:rPr>
            </w:pPr>
            <w:r>
              <w:rPr>
                <w:rFonts w:ascii="Times New Roman" w:cs="Times New Roman" w:eastAsia="Times New Roman" w:hAnsi="Times New Roman"/>
                <w:sz w:val="14"/>
                <w:szCs w:val="14"/>
                <w:color w:val="auto"/>
              </w:rPr>
              <w:t>Director</w:t>
            </w:r>
          </w:p>
        </w:tc>
        <w:tc>
          <w:tcPr>
            <w:tcW w:w="3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June 4, 2026</w:t>
            </w:r>
          </w:p>
        </w:tc>
      </w:tr>
      <w:tr>
        <w:trPr>
          <w:trHeight w:val="169"/>
        </w:trPr>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Elena Sisti</w:t>
            </w:r>
          </w:p>
        </w:tc>
        <w:tc>
          <w:tcPr>
            <w:tcW w:w="34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140" w:type="dxa"/>
            <w:vAlign w:val="bottom"/>
          </w:tcPr>
          <w:p>
            <w:pPr>
              <w:spacing w:after="0"/>
              <w:rPr>
                <w:sz w:val="14"/>
                <w:szCs w:val="14"/>
                <w:color w:val="auto"/>
              </w:rPr>
            </w:pPr>
          </w:p>
        </w:tc>
      </w:tr>
      <w:tr>
        <w:trPr>
          <w:trHeight w:val="316"/>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John Sorrenti</w:t>
            </w:r>
          </w:p>
        </w:tc>
        <w:tc>
          <w:tcPr>
            <w:tcW w:w="4980" w:type="dxa"/>
            <w:vAlign w:val="bottom"/>
            <w:gridSpan w:val="3"/>
          </w:tcPr>
          <w:p>
            <w:pPr>
              <w:ind w:left="340"/>
              <w:spacing w:after="0"/>
              <w:rPr>
                <w:sz w:val="20"/>
                <w:szCs w:val="20"/>
                <w:color w:val="auto"/>
              </w:rPr>
            </w:pPr>
            <w:r>
              <w:rPr>
                <w:rFonts w:ascii="Times New Roman" w:cs="Times New Roman" w:eastAsia="Times New Roman" w:hAnsi="Times New Roman"/>
                <w:sz w:val="14"/>
                <w:szCs w:val="14"/>
                <w:color w:val="auto"/>
              </w:rPr>
              <w:t>Director</w:t>
            </w:r>
          </w:p>
        </w:tc>
        <w:tc>
          <w:tcPr>
            <w:tcW w:w="3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June 4, 2026</w:t>
            </w:r>
          </w:p>
        </w:tc>
      </w:tr>
      <w:tr>
        <w:trPr>
          <w:trHeight w:val="169"/>
        </w:trPr>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John Sorrenti</w:t>
            </w:r>
          </w:p>
        </w:tc>
        <w:tc>
          <w:tcPr>
            <w:tcW w:w="34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140" w:type="dxa"/>
            <w:vAlign w:val="bottom"/>
          </w:tcPr>
          <w:p>
            <w:pPr>
              <w:spacing w:after="0"/>
              <w:rPr>
                <w:sz w:val="14"/>
                <w:szCs w:val="14"/>
                <w:color w:val="auto"/>
              </w:rPr>
            </w:pPr>
          </w:p>
        </w:tc>
      </w:tr>
      <w:tr>
        <w:trPr>
          <w:trHeight w:val="316"/>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Michael Thaden</w:t>
            </w:r>
          </w:p>
        </w:tc>
        <w:tc>
          <w:tcPr>
            <w:tcW w:w="4980" w:type="dxa"/>
            <w:vAlign w:val="bottom"/>
            <w:gridSpan w:val="3"/>
          </w:tcPr>
          <w:p>
            <w:pPr>
              <w:ind w:left="340"/>
              <w:spacing w:after="0"/>
              <w:rPr>
                <w:sz w:val="20"/>
                <w:szCs w:val="20"/>
                <w:color w:val="auto"/>
              </w:rPr>
            </w:pPr>
            <w:r>
              <w:rPr>
                <w:rFonts w:ascii="Times New Roman" w:cs="Times New Roman" w:eastAsia="Times New Roman" w:hAnsi="Times New Roman"/>
                <w:sz w:val="14"/>
                <w:szCs w:val="14"/>
                <w:color w:val="auto"/>
              </w:rPr>
              <w:t>Director</w:t>
            </w:r>
          </w:p>
        </w:tc>
        <w:tc>
          <w:tcPr>
            <w:tcW w:w="3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June 4, 2026</w:t>
            </w:r>
          </w:p>
        </w:tc>
      </w:tr>
      <w:tr>
        <w:trPr>
          <w:trHeight w:val="169"/>
        </w:trPr>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Michael Thaden</w:t>
            </w:r>
          </w:p>
        </w:tc>
        <w:tc>
          <w:tcPr>
            <w:tcW w:w="34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140" w:type="dxa"/>
            <w:vAlign w:val="bottom"/>
          </w:tcPr>
          <w:p>
            <w:pPr>
              <w:spacing w:after="0"/>
              <w:rPr>
                <w:sz w:val="14"/>
                <w:szCs w:val="14"/>
                <w:color w:val="auto"/>
              </w:rPr>
            </w:pPr>
          </w:p>
        </w:tc>
      </w:tr>
      <w:tr>
        <w:trPr>
          <w:trHeight w:val="316"/>
        </w:trPr>
        <w:tc>
          <w:tcPr>
            <w:tcW w:w="3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720" w:right="31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6"/>
          <w:szCs w:val="16"/>
          <w:b w:val="1"/>
          <w:bCs w:val="1"/>
          <w:color w:val="auto"/>
        </w:rPr>
        <w:t>Exhibit 5.1</w:t>
      </w:r>
    </w:p>
    <w:p>
      <w:pPr>
        <w:spacing w:after="0" w:line="17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Kilpatrick Townsend &amp; Stockton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-90805</wp:posOffset>
            </wp:positionV>
            <wp:extent cx="386080" cy="3924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0">
                      <a:extLst>
                        <a:ext uri="{28A0092B-C50C-407E-A947-70E740481C1C}"/>
                      </a:extLst>
                    </a:blip>
                    <a:srcRect/>
                    <a:stretch>
                      <a:fillRect/>
                    </a:stretch>
                  </pic:blipFill>
                  <pic:spPr bwMode="auto">
                    <a:xfrm>
                      <a:off x="0" y="0"/>
                      <a:ext cx="386080" cy="392430"/>
                    </a:xfrm>
                    <a:prstGeom prst="rect">
                      <a:avLst/>
                    </a:prstGeom>
                    <a:noFill/>
                  </pic:spPr>
                </pic:pic>
              </a:graphicData>
            </a:graphic>
          </wp:anchor>
        </w:drawing>
      </w:r>
    </w:p>
    <w:p>
      <w:pPr>
        <w:spacing w:after="0" w:line="15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701 Pennsylvania Avenue, NW, Suite 200</w:t>
      </w:r>
    </w:p>
    <w:p>
      <w:pPr>
        <w:spacing w:after="0" w:line="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Washington, DC 20004</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202.508.5800</w:t>
      </w:r>
    </w:p>
    <w:p>
      <w:pPr>
        <w:spacing w:after="0" w:line="1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www.ktslaw.com</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June 4, 2026</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Board of Directors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Hanover Bancorp,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80 East Jericho Turnpike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Mineola, New York 11501</w:t>
      </w:r>
    </w:p>
    <w:p>
      <w:pPr>
        <w:spacing w:after="0" w:line="151" w:lineRule="exact"/>
        <w:rPr>
          <w:sz w:val="20"/>
          <w:szCs w:val="20"/>
          <w:color w:val="auto"/>
        </w:rPr>
      </w:pPr>
    </w:p>
    <w:p>
      <w:pPr>
        <w:ind w:left="500"/>
        <w:spacing w:after="0"/>
        <w:tabs>
          <w:tab w:leader="none" w:pos="980" w:val="left"/>
        </w:tabs>
        <w:rPr>
          <w:sz w:val="20"/>
          <w:szCs w:val="20"/>
          <w:color w:val="auto"/>
        </w:rPr>
      </w:pPr>
      <w:r>
        <w:rPr>
          <w:rFonts w:ascii="Times New Roman" w:cs="Times New Roman" w:eastAsia="Times New Roman" w:hAnsi="Times New Roman"/>
          <w:sz w:val="14"/>
          <w:szCs w:val="14"/>
          <w:b w:val="1"/>
          <w:bCs w:val="1"/>
          <w:color w:val="auto"/>
        </w:rPr>
        <w:t>Re:</w:t>
      </w:r>
      <w:r>
        <w:rPr>
          <w:sz w:val="20"/>
          <w:szCs w:val="20"/>
          <w:color w:val="auto"/>
        </w:rPr>
        <w:tab/>
      </w:r>
      <w:r>
        <w:rPr>
          <w:rFonts w:ascii="Times New Roman" w:cs="Times New Roman" w:eastAsia="Times New Roman" w:hAnsi="Times New Roman"/>
          <w:sz w:val="14"/>
          <w:szCs w:val="14"/>
          <w:b w:val="1"/>
          <w:bCs w:val="1"/>
          <w:color w:val="auto"/>
        </w:rPr>
        <w:t>Registration Statement on Form S-4</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Ladies and Gentlemen:</w:t>
      </w:r>
    </w:p>
    <w:p>
      <w:pPr>
        <w:spacing w:after="0" w:line="169" w:lineRule="exact"/>
        <w:rPr>
          <w:sz w:val="20"/>
          <w:szCs w:val="20"/>
          <w:color w:val="auto"/>
        </w:rPr>
      </w:pPr>
    </w:p>
    <w:p>
      <w:pPr>
        <w:ind w:right="240" w:firstLine="495"/>
        <w:spacing w:after="0" w:line="258" w:lineRule="auto"/>
        <w:rPr>
          <w:sz w:val="20"/>
          <w:szCs w:val="20"/>
          <w:color w:val="auto"/>
        </w:rPr>
      </w:pPr>
      <w:r>
        <w:rPr>
          <w:rFonts w:ascii="Times New Roman" w:cs="Times New Roman" w:eastAsia="Times New Roman" w:hAnsi="Times New Roman"/>
          <w:sz w:val="14"/>
          <w:szCs w:val="14"/>
          <w:color w:val="auto"/>
        </w:rPr>
        <w:t>We have acted as counsel to Hanover Bancorp, Inc., a Maryland corporation (the “Company”), in connection with the preparation and filing with the Securities and Exchange Commission (the “Commission”) pursuant to the Securities Act of 1933, as amended (“Securities Act”), of the registration statement on Form S-4 (the “Registration Statement”) that was filed by the Company with the Commission.</w:t>
      </w:r>
    </w:p>
    <w:p>
      <w:pPr>
        <w:spacing w:after="0" w:line="140" w:lineRule="exact"/>
        <w:rPr>
          <w:sz w:val="20"/>
          <w:szCs w:val="20"/>
          <w:color w:val="auto"/>
        </w:rPr>
      </w:pPr>
    </w:p>
    <w:p>
      <w:pPr>
        <w:ind w:right="60" w:firstLine="495"/>
        <w:spacing w:after="0" w:line="254" w:lineRule="auto"/>
        <w:rPr>
          <w:sz w:val="20"/>
          <w:szCs w:val="20"/>
          <w:color w:val="auto"/>
        </w:rPr>
      </w:pPr>
      <w:r>
        <w:rPr>
          <w:rFonts w:ascii="Times New Roman" w:cs="Times New Roman" w:eastAsia="Times New Roman" w:hAnsi="Times New Roman"/>
          <w:sz w:val="14"/>
          <w:szCs w:val="14"/>
          <w:color w:val="auto"/>
        </w:rPr>
        <w:t>The Registration Statement relates to the offering by the Company of up to $35,000,000 in aggregate principal amount of the Company’s 7.25% Fixed-to-Floating Rate Subordinated Notes due 2036 (the “New Notes”) in exchange for a like principal amount of the Company’s outstanding unregistered 7.25% Fixed-to-Floating Rate Subordinated Notes due 2036 (the “Old Notes”). The New Notes will be issued pursuant to the Indenture, dated as of March 12, 2026 (the “Indenture”), between the Company and UMB Bank, N.A., as trustee (the “Trustee”), as contemplated by the Registration Rights Agreements, dated as of March 12, 2026, by and among the Company and the purchasers of the Old Notes (the “Registration Rights Agreements”).</w:t>
      </w:r>
    </w:p>
    <w:p>
      <w:pPr>
        <w:spacing w:after="0" w:line="143" w:lineRule="exact"/>
        <w:rPr>
          <w:sz w:val="20"/>
          <w:szCs w:val="20"/>
          <w:color w:val="auto"/>
        </w:rPr>
      </w:pPr>
    </w:p>
    <w:p>
      <w:pPr>
        <w:ind w:right="20" w:firstLine="495"/>
        <w:spacing w:after="0" w:line="252" w:lineRule="auto"/>
        <w:rPr>
          <w:sz w:val="20"/>
          <w:szCs w:val="20"/>
          <w:color w:val="auto"/>
        </w:rPr>
      </w:pPr>
      <w:r>
        <w:rPr>
          <w:rFonts w:ascii="Times New Roman" w:cs="Times New Roman" w:eastAsia="Times New Roman" w:hAnsi="Times New Roman"/>
          <w:sz w:val="14"/>
          <w:szCs w:val="14"/>
          <w:color w:val="auto"/>
        </w:rPr>
        <w:t>In connection with the issuance of this opinion letter, we have examined originals or copies, certified or otherwise identified to our satisfaction, of: (i) the Registration Statement and all exhibits thereto; (ii) the Old Notes; (iii) the New Notes; (iv) the Indenture; (v) the Registration Rights Agreements; (vi) the articles of incorporation and bylaws of the Company; and (vii) certain resolutions adopted by the Board of Directors of the Company relating to the exchange offer, the issuance of the New Notes and the Indenture. We have also examined the originals or duplicates or certified or conformed copies of such corporate records, agreements, documents and other instruments, as we have deemed necessary, and have made such other investigations as we have deemed necessary or appropriate to enable us to render this 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204470</wp:posOffset>
            </wp:positionV>
            <wp:extent cx="7164705" cy="63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1">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300" w:right="3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color w:val="auto"/>
        </w:rPr>
        <w:t>Board of Directors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Hanover Bancorp,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June 4, 2026</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Page 2</w:t>
      </w:r>
    </w:p>
    <w:p>
      <w:pPr>
        <w:spacing w:after="0" w:line="155" w:lineRule="exact"/>
        <w:rPr>
          <w:sz w:val="20"/>
          <w:szCs w:val="20"/>
          <w:color w:val="auto"/>
        </w:rPr>
      </w:pPr>
    </w:p>
    <w:p>
      <w:pPr>
        <w:ind w:firstLine="495"/>
        <w:spacing w:after="0" w:line="248" w:lineRule="auto"/>
        <w:rPr>
          <w:sz w:val="20"/>
          <w:szCs w:val="20"/>
          <w:color w:val="auto"/>
        </w:rPr>
      </w:pPr>
      <w:r>
        <w:rPr>
          <w:rFonts w:ascii="Times New Roman" w:cs="Times New Roman" w:eastAsia="Times New Roman" w:hAnsi="Times New Roman"/>
          <w:sz w:val="14"/>
          <w:szCs w:val="14"/>
          <w:color w:val="auto"/>
        </w:rPr>
        <w:t>We have examined and relied on originals or copies certified or otherwise identified to our satisfaction of such documents, corporate records, certificates of public officials and other instruments as we have deemed necessary or appropriate for the purposes of this opinion. In such examination, we have assumed: (i) the authenticity of original documents and the genuineness of all signatures (whether manual, electronic or otherwise) and, to the extent that a signature on a document is manifested by electronic or similar means, such signature has been executed or adopted by a signatory with an intent to authenticate and sign the document; (ii) the persons executing the documents we have examined have the legal capacity to execute such documents; (iii) the conformity to the originals of all documents submitted to us as copies; (iv) the truth, accuracy and completeness of the information, representations and warranties contained in the Registration Statement and other records, documents, instruments and certificates we have reviewed; (v) all New Notes will be issued in the manner stated in the Registration Rights Agreements and the Registration Statement; (vi) the Indenture has been duly authorized, executed and delivered by the Trustee, constitutes the valid, binding and enforceable obligation of the Trustee, and the Trustee is duly organized, validly existing and in good standing and has full power and authority to act as trustee under the Indenture; and (vii) the execution and delivery by the Company of the New Notes and the performance by the Company of its obligations thereunder do not and will not violate, conflict with or constitute a default under any agreement or instrument to which the Company or its properties is subject (other than those agreements and instruments that have been identified to us by the Company and which are listed in Part II of the Registration Statement as exhibits thereto). As to any facts material to the opinions expressed herein, we have relied upon statements and representations of officers and other representatives of the Company and others.</w:t>
      </w:r>
    </w:p>
    <w:p>
      <w:pPr>
        <w:spacing w:after="0" w:line="149" w:lineRule="exact"/>
        <w:rPr>
          <w:sz w:val="20"/>
          <w:szCs w:val="20"/>
          <w:color w:val="auto"/>
        </w:rPr>
      </w:pPr>
    </w:p>
    <w:p>
      <w:pPr>
        <w:ind w:firstLine="495"/>
        <w:spacing w:after="0" w:line="254" w:lineRule="auto"/>
        <w:rPr>
          <w:sz w:val="20"/>
          <w:szCs w:val="20"/>
          <w:color w:val="auto"/>
        </w:rPr>
      </w:pPr>
      <w:r>
        <w:rPr>
          <w:rFonts w:ascii="Times New Roman" w:cs="Times New Roman" w:eastAsia="Times New Roman" w:hAnsi="Times New Roman"/>
          <w:sz w:val="14"/>
          <w:szCs w:val="14"/>
          <w:color w:val="auto"/>
        </w:rPr>
        <w:t>Based upon the foregoing, and subject to the qualifications, assumptions and limitations stated herein, we are of the opinion that when the New Notes (in the form examined by us) are duly executed by the Company, authenticated by the Trustee in accordance with the Indenture and issued and delivered upon consummation of the exchange offer (as described in the Registration Statement) against receipt of the Old Notes surrendered in exchange therefor in accordance with the terms of such exchange offer, the Registration Rights Agreements, the Registration Statement and the Indenture, the New Notes will constitute valid and binding obligations of the Company, enforceable against the Company in accordance with their terms.</w:t>
      </w:r>
    </w:p>
    <w:p>
      <w:pPr>
        <w:spacing w:after="0" w:line="143" w:lineRule="exact"/>
        <w:rPr>
          <w:sz w:val="20"/>
          <w:szCs w:val="20"/>
          <w:color w:val="auto"/>
        </w:rPr>
      </w:pPr>
    </w:p>
    <w:p>
      <w:pPr>
        <w:ind w:right="40" w:firstLine="495"/>
        <w:spacing w:after="0" w:line="258" w:lineRule="auto"/>
        <w:rPr>
          <w:sz w:val="20"/>
          <w:szCs w:val="20"/>
          <w:color w:val="auto"/>
        </w:rPr>
      </w:pPr>
      <w:r>
        <w:rPr>
          <w:rFonts w:ascii="Times New Roman" w:cs="Times New Roman" w:eastAsia="Times New Roman" w:hAnsi="Times New Roman"/>
          <w:sz w:val="14"/>
          <w:szCs w:val="14"/>
          <w:color w:val="auto"/>
        </w:rPr>
        <w:t>The opinion is limited in all respects to the laws of the State of Maryland and the laws of the State of New York and we express no opinion as to federal law, including the federal securities laws, state securities (or “blue sky” laws) or the laws of any other jurisdiction. Our opinions expressed herein are as of the date hereof, and we assume no obligation to revise or supplement the opinions rendered herein should the above-referenced laws be changed by legislative or regulatory action, judicial decision or otherwise.</w:t>
      </w:r>
    </w:p>
    <w:p>
      <w:pPr>
        <w:spacing w:after="0" w:line="140" w:lineRule="exact"/>
        <w:rPr>
          <w:sz w:val="20"/>
          <w:szCs w:val="20"/>
          <w:color w:val="auto"/>
        </w:rPr>
      </w:pPr>
    </w:p>
    <w:p>
      <w:pPr>
        <w:ind w:right="100" w:firstLine="495"/>
        <w:spacing w:after="0" w:line="252" w:lineRule="auto"/>
        <w:rPr>
          <w:sz w:val="20"/>
          <w:szCs w:val="20"/>
          <w:color w:val="auto"/>
        </w:rPr>
      </w:pPr>
      <w:r>
        <w:rPr>
          <w:rFonts w:ascii="Times New Roman" w:cs="Times New Roman" w:eastAsia="Times New Roman" w:hAnsi="Times New Roman"/>
          <w:sz w:val="14"/>
          <w:szCs w:val="14"/>
          <w:color w:val="auto"/>
        </w:rPr>
        <w:t>Our opinion is subject to: (1) applicable bankruptcy, insolvency, reorganization, receivership, conservatorship, fraudulent conveyance, moratorium or other similar laws relating to or affecting the rights of creditors generally; (2) general principles of equity, including without limitation concepts of materiality, reasonableness, good faith and fair dealing, and the possible unavailability of specific performance or injunctive relief and limitation of rights of acceleration, regardless of whether such enforceability is considered in a proceeding in equity or at law; and (3) limitation of rights to indemnification, exculpation and contribution, which may be limited by applicable law or equitable principles. We express no opinion regarding the effectiveness of any waiver of stay, extension or usury laws or of unknown future rights, and we express no opinion regarding severability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204470</wp:posOffset>
            </wp:positionV>
            <wp:extent cx="7164705" cy="63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2">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724" w:right="3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color w:val="auto"/>
        </w:rPr>
        <w:t>Board of Directors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Hanover Bancorp,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June 4, 2026</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Page 3</w:t>
      </w:r>
    </w:p>
    <w:p>
      <w:pPr>
        <w:spacing w:after="0" w:line="155" w:lineRule="exact"/>
        <w:rPr>
          <w:sz w:val="20"/>
          <w:szCs w:val="20"/>
          <w:color w:val="auto"/>
        </w:rPr>
      </w:pPr>
    </w:p>
    <w:p>
      <w:pPr>
        <w:ind w:firstLine="495"/>
        <w:spacing w:after="0" w:line="254" w:lineRule="auto"/>
        <w:rPr>
          <w:sz w:val="20"/>
          <w:szCs w:val="20"/>
          <w:color w:val="auto"/>
        </w:rPr>
      </w:pPr>
      <w:r>
        <w:rPr>
          <w:rFonts w:ascii="Times New Roman" w:cs="Times New Roman" w:eastAsia="Times New Roman" w:hAnsi="Times New Roman"/>
          <w:sz w:val="14"/>
          <w:szCs w:val="14"/>
          <w:color w:val="auto"/>
        </w:rPr>
        <w:t>This opinion letter has been prepared, and is to be understood, in accordance with customary practice of lawyers who regularly give and lawyers who regularly advise recipients regarding opinions of this kind, is limited to the matters expressly stated herein and is provided solely in connection with the transactions contemplated by the Registration Statement and no opinions may be inferred or implied beyond the matters expressly stated herein. The opinion expressed herein is rendered and speaks only as of the date hereof and we specifically disclaim any responsibility to update such opinion subsequent to the date hereof or to advise you of subsequent developments affecting such opinion.</w:t>
      </w:r>
    </w:p>
    <w:p>
      <w:pPr>
        <w:spacing w:after="0" w:line="143" w:lineRule="exact"/>
        <w:rPr>
          <w:sz w:val="20"/>
          <w:szCs w:val="20"/>
          <w:color w:val="auto"/>
        </w:rPr>
      </w:pPr>
    </w:p>
    <w:p>
      <w:pPr>
        <w:jc w:val="both"/>
        <w:ind w:right="60" w:firstLine="495"/>
        <w:spacing w:after="0" w:line="258" w:lineRule="auto"/>
        <w:rPr>
          <w:sz w:val="20"/>
          <w:szCs w:val="20"/>
          <w:color w:val="auto"/>
        </w:rPr>
      </w:pPr>
      <w:r>
        <w:rPr>
          <w:rFonts w:ascii="Times New Roman" w:cs="Times New Roman" w:eastAsia="Times New Roman" w:hAnsi="Times New Roman"/>
          <w:sz w:val="14"/>
          <w:szCs w:val="14"/>
          <w:color w:val="auto"/>
        </w:rPr>
        <w:t>We hereby consent to the filing of this opinion letter as Exhibit 5.1 to the Registration Statement and to the reference to us under the heading “Legal Matters” in the prospectus forming part of the Registration Statement and any amendments and supplements thereto. In giving such consent, we do not thereby admit that we are in the category of persons whose consent is required under Section 7 of the Securities Act or the rules and regulations promulgated thereunder.</w:t>
      </w:r>
    </w:p>
    <w:p>
      <w:pPr>
        <w:spacing w:after="0" w:line="14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Very truly yours,</w:t>
      </w:r>
    </w:p>
    <w:p>
      <w:pPr>
        <w:spacing w:after="0" w:line="16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/s/ KILPATRICK TOWNSEND &amp; STOCKTON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219710</wp:posOffset>
            </wp:positionV>
            <wp:extent cx="7164705" cy="63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3">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60"/>
          </w:cols>
          <w:pgMar w:left="300" w:top="724" w:right="3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6"/>
          <w:szCs w:val="16"/>
          <w:b w:val="1"/>
          <w:bCs w:val="1"/>
          <w:color w:val="auto"/>
        </w:rPr>
        <w:t>Exhibit 23.1</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CONSENT OF INDEPENDENT REGISTERED PUBLIC ACCOUNTING FIRM</w:t>
      </w:r>
    </w:p>
    <w:p>
      <w:pPr>
        <w:spacing w:after="0" w:line="169"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4"/>
          <w:szCs w:val="14"/>
          <w:color w:val="auto"/>
        </w:rPr>
        <w:t>We consent to the incorporation by reference in this Registration Statement on Form S-4 of Hanover Bancorp, Inc. of our report dated March 13, 2026, relating to the consolidated financial statements appearing in the Annual Report on Form 10-K of Hanover Bancorp, Inc. for the year ended December 31, 2025, and to the reference to us under the heading "Experts" in the prospectus.</w:t>
      </w:r>
    </w:p>
    <w:p>
      <w:pPr>
        <w:spacing w:after="0" w:line="1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/s/ Crowe LLP</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Livingston, New Jersey</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June 04,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211455</wp:posOffset>
            </wp:positionV>
            <wp:extent cx="7164705" cy="63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4">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300" w:right="31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6"/>
          <w:szCs w:val="16"/>
          <w:b w:val="1"/>
          <w:bCs w:val="1"/>
          <w:color w:val="auto"/>
        </w:rPr>
        <w:t>Exhibit 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134620</wp:posOffset>
            </wp:positionV>
            <wp:extent cx="7164705" cy="133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5">
                      <a:extLst>
                        <a:ext uri="{28A0092B-C50C-407E-A947-70E740481C1C}"/>
                      </a:extLst>
                    </a:blip>
                    <a:srcRect/>
                    <a:stretch>
                      <a:fillRect/>
                    </a:stretch>
                  </pic:blipFill>
                  <pic:spPr bwMode="auto">
                    <a:xfrm>
                      <a:off x="0" y="0"/>
                      <a:ext cx="7164705" cy="1333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160655</wp:posOffset>
            </wp:positionV>
            <wp:extent cx="7164705" cy="63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6">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2690495</wp:posOffset>
            </wp:positionH>
            <wp:positionV relativeFrom="paragraph">
              <wp:posOffset>132715</wp:posOffset>
            </wp:positionV>
            <wp:extent cx="1786255" cy="63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7">
                      <a:extLst>
                        <a:ext uri="{28A0092B-C50C-407E-A947-70E740481C1C}"/>
                      </a:extLst>
                    </a:blip>
                    <a:srcRect/>
                    <a:stretch>
                      <a:fillRect/>
                    </a:stretch>
                  </pic:blipFill>
                  <pic:spPr bwMode="auto">
                    <a:xfrm>
                      <a:off x="0" y="0"/>
                      <a:ext cx="1786255" cy="6350"/>
                    </a:xfrm>
                    <a:prstGeom prst="rect">
                      <a:avLst/>
                    </a:prstGeom>
                    <a:noFill/>
                  </pic:spPr>
                </pic:pic>
              </a:graphicData>
            </a:graphic>
          </wp:anchor>
        </w:drawing>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FORM T-1</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STATEMENT OF ELIGIBILITY UNDER</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TRUST INDENTURE ACT OF 1939 OF A</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CORPORATION DESIGNATED TO ACT AS TRUSTEE</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Check if an Application to Determine Eligibility of</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 Trustee Pursuant to Section 305(b)(2)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1794510</wp:posOffset>
            </wp:positionH>
            <wp:positionV relativeFrom="paragraph">
              <wp:posOffset>132715</wp:posOffset>
            </wp:positionV>
            <wp:extent cx="3578860" cy="63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8">
                      <a:extLst>
                        <a:ext uri="{28A0092B-C50C-407E-A947-70E740481C1C}"/>
                      </a:extLst>
                    </a:blip>
                    <a:srcRect/>
                    <a:stretch>
                      <a:fillRect/>
                    </a:stretch>
                  </pic:blipFill>
                  <pic:spPr bwMode="auto">
                    <a:xfrm>
                      <a:off x="0" y="0"/>
                      <a:ext cx="3578860" cy="635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UMB BANK, NATIONAL ASSOCIATION</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Trustee as specified in its charter)</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44-0194180</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148"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56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1010 Grand Blvd.</w:t>
            </w:r>
          </w:p>
        </w:tc>
        <w:tc>
          <w:tcPr>
            <w:tcW w:w="1760" w:type="dxa"/>
            <w:vAlign w:val="bottom"/>
            <w:tcBorders>
              <w:top w:val="single" w:sz="8" w:color="auto"/>
            </w:tcBorders>
          </w:tcPr>
          <w:p>
            <w:pPr>
              <w:spacing w:after="0"/>
              <w:rPr>
                <w:sz w:val="14"/>
                <w:szCs w:val="14"/>
                <w:color w:val="auto"/>
              </w:rPr>
            </w:pPr>
          </w:p>
        </w:tc>
        <w:tc>
          <w:tcPr>
            <w:tcW w:w="3880" w:type="dxa"/>
            <w:vAlign w:val="bottom"/>
            <w:tcBorders>
              <w:top w:val="single" w:sz="8" w:color="auto"/>
              <w:right w:val="single" w:sz="8" w:color="auto"/>
            </w:tcBorders>
          </w:tcPr>
          <w:p>
            <w:pPr>
              <w:spacing w:after="0"/>
              <w:rPr>
                <w:sz w:val="14"/>
                <w:szCs w:val="14"/>
                <w:color w:val="auto"/>
              </w:rPr>
            </w:pPr>
          </w:p>
        </w:tc>
      </w:tr>
      <w:tr>
        <w:trPr>
          <w:trHeight w:val="178"/>
        </w:trPr>
        <w:tc>
          <w:tcPr>
            <w:tcW w:w="5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Kansas City, Missouri</w:t>
            </w:r>
          </w:p>
        </w:tc>
        <w:tc>
          <w:tcPr>
            <w:tcW w:w="1760" w:type="dxa"/>
            <w:vAlign w:val="bottom"/>
            <w:tcBorders>
              <w:bottom w:val="single" w:sz="8" w:color="auto"/>
            </w:tcBorders>
          </w:tcPr>
          <w:p>
            <w:pPr>
              <w:spacing w:after="0"/>
              <w:rPr>
                <w:sz w:val="15"/>
                <w:szCs w:val="15"/>
                <w:color w:val="auto"/>
              </w:rPr>
            </w:pPr>
          </w:p>
        </w:tc>
        <w:tc>
          <w:tcPr>
            <w:tcW w:w="3880" w:type="dxa"/>
            <w:vAlign w:val="bottom"/>
            <w:tcBorders>
              <w:bottom w:val="single" w:sz="8" w:color="auto"/>
              <w:right w:val="single" w:sz="8" w:color="auto"/>
            </w:tcBorders>
          </w:tcPr>
          <w:p>
            <w:pPr>
              <w:jc w:val="center"/>
              <w:ind w:right="1711"/>
              <w:spacing w:after="0"/>
              <w:rPr>
                <w:sz w:val="20"/>
                <w:szCs w:val="20"/>
                <w:color w:val="auto"/>
              </w:rPr>
            </w:pPr>
            <w:r>
              <w:rPr>
                <w:rFonts w:ascii="Times New Roman" w:cs="Times New Roman" w:eastAsia="Times New Roman" w:hAnsi="Times New Roman"/>
                <w:sz w:val="14"/>
                <w:szCs w:val="14"/>
                <w:color w:val="auto"/>
                <w:w w:val="97"/>
              </w:rPr>
              <w:t>64106</w:t>
            </w:r>
          </w:p>
        </w:tc>
      </w:tr>
      <w:tr>
        <w:trPr>
          <w:trHeight w:val="155"/>
        </w:trPr>
        <w:tc>
          <w:tcPr>
            <w:tcW w:w="5660" w:type="dxa"/>
            <w:vAlign w:val="bottom"/>
            <w:tcBorders>
              <w:left w:val="single" w:sz="8" w:color="auto"/>
              <w:bottom w:val="single" w:sz="8" w:color="auto"/>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w w:val="98"/>
              </w:rPr>
              <w:t>(Address of principal executive offices)</w:t>
            </w:r>
          </w:p>
        </w:tc>
        <w:tc>
          <w:tcPr>
            <w:tcW w:w="1760" w:type="dxa"/>
            <w:vAlign w:val="bottom"/>
            <w:tcBorders>
              <w:bottom w:val="single" w:sz="8" w:color="auto"/>
            </w:tcBorders>
          </w:tcPr>
          <w:p>
            <w:pPr>
              <w:spacing w:after="0"/>
              <w:rPr>
                <w:sz w:val="13"/>
                <w:szCs w:val="13"/>
                <w:color w:val="auto"/>
              </w:rPr>
            </w:pPr>
          </w:p>
        </w:tc>
        <w:tc>
          <w:tcPr>
            <w:tcW w:w="3880" w:type="dxa"/>
            <w:vAlign w:val="bottom"/>
            <w:tcBorders>
              <w:bottom w:val="single" w:sz="8" w:color="auto"/>
              <w:right w:val="single" w:sz="8" w:color="auto"/>
            </w:tcBorders>
          </w:tcPr>
          <w:p>
            <w:pPr>
              <w:jc w:val="center"/>
              <w:ind w:right="1731"/>
              <w:spacing w:after="0" w:line="155" w:lineRule="exact"/>
              <w:rPr>
                <w:sz w:val="20"/>
                <w:szCs w:val="20"/>
                <w:color w:val="auto"/>
              </w:rPr>
            </w:pPr>
            <w:r>
              <w:rPr>
                <w:rFonts w:ascii="Times New Roman" w:cs="Times New Roman" w:eastAsia="Times New Roman" w:hAnsi="Times New Roman"/>
                <w:sz w:val="14"/>
                <w:szCs w:val="14"/>
                <w:color w:val="auto"/>
                <w:w w:val="96"/>
              </w:rPr>
              <w:t>(Zip Code)</w:t>
            </w:r>
          </w:p>
        </w:tc>
      </w:tr>
      <w:tr>
        <w:trPr>
          <w:trHeight w:val="307"/>
        </w:trPr>
        <w:tc>
          <w:tcPr>
            <w:tcW w:w="7420" w:type="dxa"/>
            <w:vAlign w:val="bottom"/>
            <w:gridSpan w:val="2"/>
          </w:tcPr>
          <w:p>
            <w:pPr>
              <w:jc w:val="center"/>
              <w:ind w:left="3791"/>
              <w:spacing w:after="0"/>
              <w:rPr>
                <w:sz w:val="20"/>
                <w:szCs w:val="20"/>
                <w:color w:val="auto"/>
              </w:rPr>
            </w:pPr>
            <w:r>
              <w:rPr>
                <w:rFonts w:ascii="Times New Roman" w:cs="Times New Roman" w:eastAsia="Times New Roman" w:hAnsi="Times New Roman"/>
                <w:sz w:val="14"/>
                <w:szCs w:val="14"/>
                <w:color w:val="auto"/>
                <w:w w:val="98"/>
              </w:rPr>
              <w:t>James Henry</w:t>
            </w:r>
          </w:p>
        </w:tc>
        <w:tc>
          <w:tcPr>
            <w:tcW w:w="3880" w:type="dxa"/>
            <w:vAlign w:val="bottom"/>
          </w:tcPr>
          <w:p>
            <w:pPr>
              <w:spacing w:after="0"/>
              <w:rPr>
                <w:sz w:val="24"/>
                <w:szCs w:val="24"/>
                <w:color w:val="auto"/>
              </w:rPr>
            </w:pPr>
          </w:p>
        </w:tc>
      </w:tr>
      <w:tr>
        <w:trPr>
          <w:trHeight w:val="165"/>
        </w:trPr>
        <w:tc>
          <w:tcPr>
            <w:tcW w:w="7420" w:type="dxa"/>
            <w:vAlign w:val="bottom"/>
            <w:gridSpan w:val="2"/>
          </w:tcPr>
          <w:p>
            <w:pPr>
              <w:jc w:val="center"/>
              <w:ind w:left="3791"/>
              <w:spacing w:after="0"/>
              <w:rPr>
                <w:sz w:val="20"/>
                <w:szCs w:val="20"/>
                <w:color w:val="auto"/>
              </w:rPr>
            </w:pPr>
            <w:r>
              <w:rPr>
                <w:rFonts w:ascii="Times New Roman" w:cs="Times New Roman" w:eastAsia="Times New Roman" w:hAnsi="Times New Roman"/>
                <w:sz w:val="14"/>
                <w:szCs w:val="14"/>
                <w:color w:val="auto"/>
                <w:w w:val="97"/>
              </w:rPr>
              <w:t>UMB BANK, NATIONAL ASSOCIATION</w:t>
            </w:r>
          </w:p>
        </w:tc>
        <w:tc>
          <w:tcPr>
            <w:tcW w:w="3880" w:type="dxa"/>
            <w:vAlign w:val="bottom"/>
          </w:tcPr>
          <w:p>
            <w:pPr>
              <w:spacing w:after="0"/>
              <w:rPr>
                <w:sz w:val="14"/>
                <w:szCs w:val="14"/>
                <w:color w:val="auto"/>
              </w:rPr>
            </w:pPr>
          </w:p>
        </w:tc>
      </w:tr>
      <w:tr>
        <w:trPr>
          <w:trHeight w:val="165"/>
        </w:trPr>
        <w:tc>
          <w:tcPr>
            <w:tcW w:w="7420" w:type="dxa"/>
            <w:vAlign w:val="bottom"/>
            <w:gridSpan w:val="2"/>
          </w:tcPr>
          <w:p>
            <w:pPr>
              <w:jc w:val="center"/>
              <w:ind w:left="3791"/>
              <w:spacing w:after="0"/>
              <w:rPr>
                <w:sz w:val="20"/>
                <w:szCs w:val="20"/>
                <w:color w:val="auto"/>
              </w:rPr>
            </w:pPr>
            <w:r>
              <w:rPr>
                <w:rFonts w:ascii="Times New Roman" w:cs="Times New Roman" w:eastAsia="Times New Roman" w:hAnsi="Times New Roman"/>
                <w:sz w:val="14"/>
                <w:szCs w:val="14"/>
                <w:color w:val="auto"/>
                <w:w w:val="97"/>
              </w:rPr>
              <w:t>5555 San Felipe, Suite 870</w:t>
            </w:r>
          </w:p>
        </w:tc>
        <w:tc>
          <w:tcPr>
            <w:tcW w:w="3880" w:type="dxa"/>
            <w:vAlign w:val="bottom"/>
          </w:tcPr>
          <w:p>
            <w:pPr>
              <w:spacing w:after="0"/>
              <w:rPr>
                <w:sz w:val="14"/>
                <w:szCs w:val="14"/>
                <w:color w:val="auto"/>
              </w:rPr>
            </w:pPr>
          </w:p>
        </w:tc>
      </w:tr>
      <w:tr>
        <w:trPr>
          <w:trHeight w:val="165"/>
        </w:trPr>
        <w:tc>
          <w:tcPr>
            <w:tcW w:w="7420" w:type="dxa"/>
            <w:vAlign w:val="bottom"/>
            <w:gridSpan w:val="2"/>
          </w:tcPr>
          <w:p>
            <w:pPr>
              <w:jc w:val="center"/>
              <w:ind w:left="3791"/>
              <w:spacing w:after="0"/>
              <w:rPr>
                <w:sz w:val="20"/>
                <w:szCs w:val="20"/>
                <w:color w:val="auto"/>
              </w:rPr>
            </w:pPr>
            <w:r>
              <w:rPr>
                <w:rFonts w:ascii="Times New Roman" w:cs="Times New Roman" w:eastAsia="Times New Roman" w:hAnsi="Times New Roman"/>
                <w:sz w:val="14"/>
                <w:szCs w:val="14"/>
                <w:color w:val="auto"/>
                <w:w w:val="98"/>
              </w:rPr>
              <w:t>Houston, Texas 77056</w:t>
            </w:r>
          </w:p>
        </w:tc>
        <w:tc>
          <w:tcPr>
            <w:tcW w:w="3880" w:type="dxa"/>
            <w:vAlign w:val="bottom"/>
          </w:tcPr>
          <w:p>
            <w:pPr>
              <w:spacing w:after="0"/>
              <w:rPr>
                <w:sz w:val="14"/>
                <w:szCs w:val="14"/>
                <w:color w:val="auto"/>
              </w:rPr>
            </w:pPr>
          </w:p>
        </w:tc>
      </w:tr>
      <w:tr>
        <w:trPr>
          <w:trHeight w:val="165"/>
        </w:trPr>
        <w:tc>
          <w:tcPr>
            <w:tcW w:w="7420" w:type="dxa"/>
            <w:vAlign w:val="bottom"/>
            <w:gridSpan w:val="2"/>
          </w:tcPr>
          <w:p>
            <w:pPr>
              <w:jc w:val="center"/>
              <w:ind w:left="3811"/>
              <w:spacing w:after="0"/>
              <w:rPr>
                <w:sz w:val="20"/>
                <w:szCs w:val="20"/>
                <w:color w:val="auto"/>
              </w:rPr>
            </w:pPr>
            <w:r>
              <w:rPr>
                <w:rFonts w:ascii="Times New Roman" w:cs="Times New Roman" w:eastAsia="Times New Roman" w:hAnsi="Times New Roman"/>
                <w:sz w:val="14"/>
                <w:szCs w:val="14"/>
                <w:color w:val="auto"/>
                <w:w w:val="98"/>
              </w:rPr>
              <w:t>(512) 582-5851</w:t>
            </w:r>
          </w:p>
        </w:tc>
        <w:tc>
          <w:tcPr>
            <w:tcW w:w="3880" w:type="dxa"/>
            <w:vAlign w:val="bottom"/>
          </w:tcPr>
          <w:p>
            <w:pPr>
              <w:spacing w:after="0"/>
              <w:rPr>
                <w:sz w:val="14"/>
                <w:szCs w:val="14"/>
                <w:color w:val="auto"/>
              </w:rPr>
            </w:pPr>
          </w:p>
        </w:tc>
      </w:tr>
      <w:tr>
        <w:trPr>
          <w:trHeight w:val="178"/>
        </w:trPr>
        <w:tc>
          <w:tcPr>
            <w:tcW w:w="7420" w:type="dxa"/>
            <w:vAlign w:val="bottom"/>
            <w:gridSpan w:val="2"/>
          </w:tcPr>
          <w:p>
            <w:pPr>
              <w:jc w:val="center"/>
              <w:ind w:left="3811"/>
              <w:spacing w:after="0"/>
              <w:rPr>
                <w:sz w:val="20"/>
                <w:szCs w:val="20"/>
                <w:color w:val="auto"/>
              </w:rPr>
            </w:pPr>
            <w:r>
              <w:rPr>
                <w:rFonts w:ascii="Times New Roman" w:cs="Times New Roman" w:eastAsia="Times New Roman" w:hAnsi="Times New Roman"/>
                <w:sz w:val="14"/>
                <w:szCs w:val="14"/>
                <w:color w:val="auto"/>
                <w:w w:val="98"/>
              </w:rPr>
              <w:t>(Name, address and telephone number of agent for service)</w:t>
            </w:r>
          </w:p>
        </w:tc>
        <w:tc>
          <w:tcPr>
            <w:tcW w:w="3880" w:type="dxa"/>
            <w:vAlign w:val="bottom"/>
          </w:tcPr>
          <w:p>
            <w:pPr>
              <w:spacing w:after="0"/>
              <w:rPr>
                <w:sz w:val="15"/>
                <w:szCs w:val="15"/>
                <w:color w:val="auto"/>
              </w:rPr>
            </w:pPr>
          </w:p>
        </w:tc>
      </w:tr>
      <w:tr>
        <w:trPr>
          <w:trHeight w:val="316"/>
        </w:trPr>
        <w:tc>
          <w:tcPr>
            <w:tcW w:w="7420" w:type="dxa"/>
            <w:vAlign w:val="bottom"/>
            <w:gridSpan w:val="2"/>
          </w:tcPr>
          <w:p>
            <w:pPr>
              <w:jc w:val="center"/>
              <w:ind w:left="3791"/>
              <w:spacing w:after="0"/>
              <w:rPr>
                <w:sz w:val="20"/>
                <w:szCs w:val="20"/>
                <w:color w:val="auto"/>
              </w:rPr>
            </w:pPr>
            <w:r>
              <w:rPr>
                <w:rFonts w:ascii="Times New Roman" w:cs="Times New Roman" w:eastAsia="Times New Roman" w:hAnsi="Times New Roman"/>
                <w:sz w:val="14"/>
                <w:szCs w:val="14"/>
                <w:color w:val="auto"/>
                <w:w w:val="97"/>
              </w:rPr>
              <w:t>Hanover Bancorp, Inc.</w:t>
            </w:r>
          </w:p>
        </w:tc>
        <w:tc>
          <w:tcPr>
            <w:tcW w:w="3880" w:type="dxa"/>
            <w:vAlign w:val="bottom"/>
          </w:tcPr>
          <w:p>
            <w:pPr>
              <w:spacing w:after="0"/>
              <w:rPr>
                <w:sz w:val="24"/>
                <w:szCs w:val="24"/>
                <w:color w:val="auto"/>
              </w:rPr>
            </w:pPr>
          </w:p>
        </w:tc>
      </w:tr>
      <w:tr>
        <w:trPr>
          <w:trHeight w:val="178"/>
        </w:trPr>
        <w:tc>
          <w:tcPr>
            <w:tcW w:w="7420" w:type="dxa"/>
            <w:vAlign w:val="bottom"/>
            <w:gridSpan w:val="2"/>
          </w:tcPr>
          <w:p>
            <w:pPr>
              <w:jc w:val="center"/>
              <w:ind w:left="3791"/>
              <w:spacing w:after="0"/>
              <w:rPr>
                <w:sz w:val="20"/>
                <w:szCs w:val="20"/>
                <w:color w:val="auto"/>
              </w:rPr>
            </w:pPr>
            <w:r>
              <w:rPr>
                <w:rFonts w:ascii="Times New Roman" w:cs="Times New Roman" w:eastAsia="Times New Roman" w:hAnsi="Times New Roman"/>
                <w:sz w:val="14"/>
                <w:szCs w:val="14"/>
                <w:color w:val="auto"/>
                <w:w w:val="98"/>
              </w:rPr>
              <w:t>(Issuer with respect to the Securities)</w:t>
            </w:r>
          </w:p>
        </w:tc>
        <w:tc>
          <w:tcPr>
            <w:tcW w:w="3880" w:type="dxa"/>
            <w:vAlign w:val="bottom"/>
          </w:tcPr>
          <w:p>
            <w:pPr>
              <w:spacing w:after="0"/>
              <w:rPr>
                <w:sz w:val="15"/>
                <w:szCs w:val="15"/>
                <w:color w:val="auto"/>
              </w:rPr>
            </w:pPr>
          </w:p>
        </w:tc>
      </w:tr>
      <w:tr>
        <w:trPr>
          <w:trHeight w:val="164"/>
        </w:trPr>
        <w:tc>
          <w:tcPr>
            <w:tcW w:w="7420" w:type="dxa"/>
            <w:vAlign w:val="bottom"/>
            <w:tcBorders>
              <w:bottom w:val="single" w:sz="8" w:color="auto"/>
            </w:tcBorders>
            <w:gridSpan w:val="2"/>
          </w:tcPr>
          <w:p>
            <w:pPr>
              <w:spacing w:after="0"/>
              <w:rPr>
                <w:sz w:val="14"/>
                <w:szCs w:val="14"/>
                <w:color w:val="auto"/>
              </w:rPr>
            </w:pPr>
          </w:p>
        </w:tc>
        <w:tc>
          <w:tcPr>
            <w:tcW w:w="3880" w:type="dxa"/>
            <w:vAlign w:val="bottom"/>
            <w:tcBorders>
              <w:bottom w:val="single" w:sz="8" w:color="auto"/>
            </w:tcBorders>
          </w:tcPr>
          <w:p>
            <w:pPr>
              <w:spacing w:after="0"/>
              <w:rPr>
                <w:sz w:val="14"/>
                <w:szCs w:val="14"/>
                <w:color w:val="auto"/>
              </w:rPr>
            </w:pPr>
          </w:p>
        </w:tc>
      </w:tr>
      <w:tr>
        <w:trPr>
          <w:trHeight w:val="155"/>
        </w:trPr>
        <w:tc>
          <w:tcPr>
            <w:tcW w:w="5660" w:type="dxa"/>
            <w:vAlign w:val="bottom"/>
            <w:tcBorders>
              <w:left w:val="single" w:sz="8" w:color="auto"/>
              <w:bottom w:val="single" w:sz="8" w:color="auto"/>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w w:val="97"/>
              </w:rPr>
              <w:t>[Maryland]</w:t>
            </w:r>
          </w:p>
        </w:tc>
        <w:tc>
          <w:tcPr>
            <w:tcW w:w="1760" w:type="dxa"/>
            <w:vAlign w:val="bottom"/>
            <w:tcBorders>
              <w:bottom w:val="single" w:sz="8" w:color="auto"/>
            </w:tcBorders>
          </w:tcPr>
          <w:p>
            <w:pPr>
              <w:spacing w:after="0"/>
              <w:rPr>
                <w:sz w:val="13"/>
                <w:szCs w:val="13"/>
                <w:color w:val="auto"/>
              </w:rPr>
            </w:pPr>
          </w:p>
        </w:tc>
        <w:tc>
          <w:tcPr>
            <w:tcW w:w="3880" w:type="dxa"/>
            <w:vAlign w:val="bottom"/>
            <w:tcBorders>
              <w:bottom w:val="single" w:sz="8" w:color="auto"/>
              <w:right w:val="single" w:sz="8" w:color="auto"/>
            </w:tcBorders>
          </w:tcPr>
          <w:p>
            <w:pPr>
              <w:jc w:val="center"/>
              <w:ind w:right="1711"/>
              <w:spacing w:after="0" w:line="155" w:lineRule="exact"/>
              <w:rPr>
                <w:sz w:val="20"/>
                <w:szCs w:val="20"/>
                <w:color w:val="auto"/>
              </w:rPr>
            </w:pPr>
            <w:r>
              <w:rPr>
                <w:rFonts w:ascii="Times New Roman" w:cs="Times New Roman" w:eastAsia="Times New Roman" w:hAnsi="Times New Roman"/>
                <w:sz w:val="14"/>
                <w:szCs w:val="14"/>
                <w:color w:val="auto"/>
                <w:w w:val="97"/>
              </w:rPr>
              <w:t>81-3324480</w:t>
            </w:r>
          </w:p>
        </w:tc>
      </w:tr>
      <w:tr>
        <w:trPr>
          <w:trHeight w:val="155"/>
        </w:trPr>
        <w:tc>
          <w:tcPr>
            <w:tcW w:w="5660" w:type="dxa"/>
            <w:vAlign w:val="bottom"/>
            <w:tcBorders>
              <w:left w:val="single" w:sz="8" w:color="auto"/>
              <w:bottom w:val="single" w:sz="8" w:color="auto"/>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w w:val="97"/>
              </w:rPr>
              <w:t>(State or other jurisdiction of incorporation or organization)</w:t>
            </w:r>
          </w:p>
        </w:tc>
        <w:tc>
          <w:tcPr>
            <w:tcW w:w="1760" w:type="dxa"/>
            <w:vAlign w:val="bottom"/>
            <w:tcBorders>
              <w:bottom w:val="single" w:sz="8" w:color="auto"/>
            </w:tcBorders>
          </w:tcPr>
          <w:p>
            <w:pPr>
              <w:spacing w:after="0"/>
              <w:rPr>
                <w:sz w:val="13"/>
                <w:szCs w:val="13"/>
                <w:color w:val="auto"/>
              </w:rPr>
            </w:pPr>
          </w:p>
        </w:tc>
        <w:tc>
          <w:tcPr>
            <w:tcW w:w="3880" w:type="dxa"/>
            <w:vAlign w:val="bottom"/>
            <w:tcBorders>
              <w:bottom w:val="single" w:sz="8" w:color="auto"/>
              <w:right w:val="single" w:sz="8" w:color="auto"/>
            </w:tcBorders>
          </w:tcPr>
          <w:p>
            <w:pPr>
              <w:jc w:val="center"/>
              <w:ind w:right="1731"/>
              <w:spacing w:after="0" w:line="155" w:lineRule="exact"/>
              <w:rPr>
                <w:sz w:val="20"/>
                <w:szCs w:val="20"/>
                <w:color w:val="auto"/>
              </w:rPr>
            </w:pPr>
            <w:r>
              <w:rPr>
                <w:rFonts w:ascii="Times New Roman" w:cs="Times New Roman" w:eastAsia="Times New Roman" w:hAnsi="Times New Roman"/>
                <w:sz w:val="14"/>
                <w:szCs w:val="14"/>
                <w:color w:val="auto"/>
                <w:w w:val="98"/>
              </w:rPr>
              <w:t>(I.R.S. Employer Identification No.)</w:t>
            </w:r>
          </w:p>
        </w:tc>
      </w:tr>
      <w:tr>
        <w:trPr>
          <w:trHeight w:val="155"/>
        </w:trPr>
        <w:tc>
          <w:tcPr>
            <w:tcW w:w="5660" w:type="dxa"/>
            <w:vAlign w:val="bottom"/>
            <w:tcBorders>
              <w:left w:val="single" w:sz="8" w:color="auto"/>
              <w:bottom w:val="single" w:sz="8" w:color="auto"/>
              <w:right w:val="single" w:sz="8" w:color="auto"/>
            </w:tcBorders>
          </w:tcPr>
          <w:p>
            <w:pPr>
              <w:spacing w:after="0"/>
              <w:rPr>
                <w:sz w:val="13"/>
                <w:szCs w:val="13"/>
                <w:color w:val="auto"/>
              </w:rPr>
            </w:pPr>
          </w:p>
        </w:tc>
        <w:tc>
          <w:tcPr>
            <w:tcW w:w="1760" w:type="dxa"/>
            <w:vAlign w:val="bottom"/>
            <w:tcBorders>
              <w:bottom w:val="single" w:sz="8" w:color="auto"/>
            </w:tcBorders>
          </w:tcPr>
          <w:p>
            <w:pPr>
              <w:spacing w:after="0"/>
              <w:rPr>
                <w:sz w:val="13"/>
                <w:szCs w:val="13"/>
                <w:color w:val="auto"/>
              </w:rPr>
            </w:pPr>
          </w:p>
        </w:tc>
        <w:tc>
          <w:tcPr>
            <w:tcW w:w="3880" w:type="dxa"/>
            <w:vAlign w:val="bottom"/>
            <w:tcBorders>
              <w:bottom w:val="single" w:sz="8" w:color="auto"/>
              <w:right w:val="single" w:sz="8" w:color="auto"/>
            </w:tcBorders>
          </w:tcPr>
          <w:p>
            <w:pPr>
              <w:spacing w:after="0"/>
              <w:rPr>
                <w:sz w:val="13"/>
                <w:szCs w:val="13"/>
                <w:color w:val="auto"/>
              </w:rPr>
            </w:pPr>
          </w:p>
        </w:tc>
      </w:tr>
      <w:tr>
        <w:trPr>
          <w:trHeight w:val="155"/>
        </w:trPr>
        <w:tc>
          <w:tcPr>
            <w:tcW w:w="7420" w:type="dxa"/>
            <w:vAlign w:val="bottom"/>
            <w:tcBorders>
              <w:bottom w:val="single" w:sz="8" w:color="auto"/>
            </w:tcBorders>
            <w:gridSpan w:val="2"/>
          </w:tcPr>
          <w:p>
            <w:pPr>
              <w:spacing w:after="0"/>
              <w:rPr>
                <w:sz w:val="13"/>
                <w:szCs w:val="13"/>
                <w:color w:val="auto"/>
              </w:rPr>
            </w:pPr>
          </w:p>
        </w:tc>
        <w:tc>
          <w:tcPr>
            <w:tcW w:w="3880" w:type="dxa"/>
            <w:vAlign w:val="bottom"/>
            <w:tcBorders>
              <w:bottom w:val="single" w:sz="8" w:color="auto"/>
            </w:tcBorders>
          </w:tcPr>
          <w:p>
            <w:pPr>
              <w:spacing w:after="0"/>
              <w:rPr>
                <w:sz w:val="13"/>
                <w:szCs w:val="13"/>
                <w:color w:val="auto"/>
              </w:rPr>
            </w:pPr>
          </w:p>
        </w:tc>
      </w:tr>
      <w:tr>
        <w:trPr>
          <w:trHeight w:val="142"/>
        </w:trPr>
        <w:tc>
          <w:tcPr>
            <w:tcW w:w="5660" w:type="dxa"/>
            <w:vAlign w:val="bottom"/>
            <w:tcBorders>
              <w:left w:val="single" w:sz="8" w:color="auto"/>
              <w:right w:val="single" w:sz="8" w:color="auto"/>
            </w:tcBorders>
          </w:tcPr>
          <w:p>
            <w:pPr>
              <w:jc w:val="center"/>
              <w:spacing w:after="0" w:line="143" w:lineRule="exact"/>
              <w:rPr>
                <w:sz w:val="20"/>
                <w:szCs w:val="20"/>
                <w:color w:val="auto"/>
              </w:rPr>
            </w:pPr>
            <w:r>
              <w:rPr>
                <w:rFonts w:ascii="Times New Roman" w:cs="Times New Roman" w:eastAsia="Times New Roman" w:hAnsi="Times New Roman"/>
                <w:sz w:val="14"/>
                <w:szCs w:val="14"/>
                <w:color w:val="auto"/>
                <w:w w:val="98"/>
              </w:rPr>
              <w:t>80 East Jericho Turnpike</w:t>
            </w:r>
          </w:p>
        </w:tc>
        <w:tc>
          <w:tcPr>
            <w:tcW w:w="1760" w:type="dxa"/>
            <w:vAlign w:val="bottom"/>
          </w:tcPr>
          <w:p>
            <w:pPr>
              <w:spacing w:after="0"/>
              <w:rPr>
                <w:sz w:val="12"/>
                <w:szCs w:val="12"/>
                <w:color w:val="auto"/>
              </w:rPr>
            </w:pPr>
          </w:p>
        </w:tc>
        <w:tc>
          <w:tcPr>
            <w:tcW w:w="3880" w:type="dxa"/>
            <w:vAlign w:val="bottom"/>
            <w:tcBorders>
              <w:right w:val="single" w:sz="8" w:color="auto"/>
            </w:tcBorders>
          </w:tcPr>
          <w:p>
            <w:pPr>
              <w:spacing w:after="0"/>
              <w:rPr>
                <w:sz w:val="12"/>
                <w:szCs w:val="12"/>
                <w:color w:val="auto"/>
              </w:rPr>
            </w:pPr>
          </w:p>
        </w:tc>
      </w:tr>
      <w:tr>
        <w:trPr>
          <w:trHeight w:val="178"/>
        </w:trPr>
        <w:tc>
          <w:tcPr>
            <w:tcW w:w="5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Mineola, New York</w:t>
            </w:r>
          </w:p>
        </w:tc>
        <w:tc>
          <w:tcPr>
            <w:tcW w:w="1760" w:type="dxa"/>
            <w:vAlign w:val="bottom"/>
            <w:tcBorders>
              <w:bottom w:val="single" w:sz="8" w:color="auto"/>
            </w:tcBorders>
          </w:tcPr>
          <w:p>
            <w:pPr>
              <w:spacing w:after="0"/>
              <w:rPr>
                <w:sz w:val="15"/>
                <w:szCs w:val="15"/>
                <w:color w:val="auto"/>
              </w:rPr>
            </w:pPr>
          </w:p>
        </w:tc>
        <w:tc>
          <w:tcPr>
            <w:tcW w:w="3880" w:type="dxa"/>
            <w:vAlign w:val="bottom"/>
            <w:tcBorders>
              <w:bottom w:val="single" w:sz="8" w:color="auto"/>
              <w:right w:val="single" w:sz="8" w:color="auto"/>
            </w:tcBorders>
          </w:tcPr>
          <w:p>
            <w:pPr>
              <w:jc w:val="center"/>
              <w:ind w:right="1711"/>
              <w:spacing w:after="0"/>
              <w:rPr>
                <w:sz w:val="20"/>
                <w:szCs w:val="20"/>
                <w:color w:val="auto"/>
              </w:rPr>
            </w:pPr>
            <w:r>
              <w:rPr>
                <w:rFonts w:ascii="Times New Roman" w:cs="Times New Roman" w:eastAsia="Times New Roman" w:hAnsi="Times New Roman"/>
                <w:sz w:val="14"/>
                <w:szCs w:val="14"/>
                <w:color w:val="auto"/>
                <w:w w:val="97"/>
              </w:rPr>
              <w:t>11501</w:t>
            </w:r>
          </w:p>
        </w:tc>
      </w:tr>
      <w:tr>
        <w:trPr>
          <w:trHeight w:val="155"/>
        </w:trPr>
        <w:tc>
          <w:tcPr>
            <w:tcW w:w="5660" w:type="dxa"/>
            <w:vAlign w:val="bottom"/>
            <w:tcBorders>
              <w:left w:val="single" w:sz="8" w:color="auto"/>
              <w:bottom w:val="single" w:sz="8" w:color="auto"/>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w w:val="97"/>
              </w:rPr>
              <w:t>(Address of Principal Executive Offices)</w:t>
            </w:r>
          </w:p>
        </w:tc>
        <w:tc>
          <w:tcPr>
            <w:tcW w:w="1760" w:type="dxa"/>
            <w:vAlign w:val="bottom"/>
            <w:tcBorders>
              <w:bottom w:val="single" w:sz="8" w:color="auto"/>
            </w:tcBorders>
          </w:tcPr>
          <w:p>
            <w:pPr>
              <w:spacing w:after="0"/>
              <w:rPr>
                <w:sz w:val="13"/>
                <w:szCs w:val="13"/>
                <w:color w:val="auto"/>
              </w:rPr>
            </w:pPr>
          </w:p>
        </w:tc>
        <w:tc>
          <w:tcPr>
            <w:tcW w:w="3880" w:type="dxa"/>
            <w:vAlign w:val="bottom"/>
            <w:tcBorders>
              <w:bottom w:val="single" w:sz="8" w:color="auto"/>
              <w:right w:val="single" w:sz="8" w:color="auto"/>
            </w:tcBorders>
          </w:tcPr>
          <w:p>
            <w:pPr>
              <w:jc w:val="center"/>
              <w:ind w:right="1731"/>
              <w:spacing w:after="0" w:line="155" w:lineRule="exact"/>
              <w:rPr>
                <w:sz w:val="20"/>
                <w:szCs w:val="20"/>
                <w:color w:val="auto"/>
              </w:rPr>
            </w:pPr>
            <w:r>
              <w:rPr>
                <w:rFonts w:ascii="Times New Roman" w:cs="Times New Roman" w:eastAsia="Times New Roman" w:hAnsi="Times New Roman"/>
                <w:sz w:val="14"/>
                <w:szCs w:val="14"/>
                <w:color w:val="auto"/>
                <w:w w:val="96"/>
              </w:rPr>
              <w:t>(Zip Code)</w:t>
            </w:r>
          </w:p>
        </w:tc>
      </w:tr>
      <w:tr>
        <w:trPr>
          <w:trHeight w:val="303"/>
        </w:trPr>
        <w:tc>
          <w:tcPr>
            <w:tcW w:w="7420" w:type="dxa"/>
            <w:vAlign w:val="bottom"/>
            <w:gridSpan w:val="2"/>
          </w:tcPr>
          <w:p>
            <w:pPr>
              <w:jc w:val="center"/>
              <w:ind w:left="3811"/>
              <w:spacing w:after="0"/>
              <w:rPr>
                <w:sz w:val="20"/>
                <w:szCs w:val="20"/>
                <w:color w:val="auto"/>
              </w:rPr>
            </w:pPr>
            <w:r>
              <w:rPr>
                <w:rFonts w:ascii="Times New Roman" w:cs="Times New Roman" w:eastAsia="Times New Roman" w:hAnsi="Times New Roman"/>
                <w:sz w:val="14"/>
                <w:szCs w:val="14"/>
                <w:b w:val="1"/>
                <w:bCs w:val="1"/>
                <w:color w:val="auto"/>
                <w:w w:val="98"/>
              </w:rPr>
              <w:t>7.25% Fixed-to-Floating Rate Subordinated Notes due 2036</w:t>
            </w:r>
          </w:p>
        </w:tc>
        <w:tc>
          <w:tcPr>
            <w:tcW w:w="3880" w:type="dxa"/>
            <w:vAlign w:val="bottom"/>
          </w:tcPr>
          <w:p>
            <w:pPr>
              <w:spacing w:after="0"/>
              <w:rPr>
                <w:sz w:val="24"/>
                <w:szCs w:val="24"/>
                <w:color w:val="auto"/>
              </w:rPr>
            </w:pPr>
          </w:p>
        </w:tc>
      </w:tr>
      <w:tr>
        <w:trPr>
          <w:trHeight w:val="182"/>
        </w:trPr>
        <w:tc>
          <w:tcPr>
            <w:tcW w:w="7420" w:type="dxa"/>
            <w:vAlign w:val="bottom"/>
            <w:gridSpan w:val="2"/>
          </w:tcPr>
          <w:p>
            <w:pPr>
              <w:jc w:val="center"/>
              <w:ind w:left="3791"/>
              <w:spacing w:after="0"/>
              <w:rPr>
                <w:sz w:val="20"/>
                <w:szCs w:val="20"/>
                <w:color w:val="auto"/>
              </w:rPr>
            </w:pPr>
            <w:r>
              <w:rPr>
                <w:rFonts w:ascii="Times New Roman" w:cs="Times New Roman" w:eastAsia="Times New Roman" w:hAnsi="Times New Roman"/>
                <w:sz w:val="14"/>
                <w:szCs w:val="14"/>
                <w:b w:val="1"/>
                <w:bCs w:val="1"/>
                <w:color w:val="auto"/>
                <w:w w:val="98"/>
              </w:rPr>
              <w:t>(Title of the Indenture Securities)</w:t>
            </w:r>
          </w:p>
        </w:tc>
        <w:tc>
          <w:tcPr>
            <w:tcW w:w="3880" w:type="dxa"/>
            <w:vAlign w:val="bottom"/>
          </w:tcPr>
          <w:p>
            <w:pPr>
              <w:spacing w:after="0"/>
              <w:rPr>
                <w:sz w:val="15"/>
                <w:szCs w:val="15"/>
                <w:color w:val="auto"/>
              </w:rPr>
            </w:pPr>
          </w:p>
        </w:tc>
      </w:tr>
      <w:tr>
        <w:trPr>
          <w:trHeight w:val="164"/>
        </w:trPr>
        <w:tc>
          <w:tcPr>
            <w:tcW w:w="56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spacing w:after="0"/>
              <w:rPr>
                <w:sz w:val="14"/>
                <w:szCs w:val="14"/>
                <w:color w:val="auto"/>
              </w:rPr>
            </w:pPr>
          </w:p>
        </w:tc>
        <w:tc>
          <w:tcPr>
            <w:tcW w:w="3880" w:type="dxa"/>
            <w:vAlign w:val="bottom"/>
            <w:tcBorders>
              <w:bottom w:val="single" w:sz="8" w:color="auto"/>
            </w:tcBorders>
          </w:tcPr>
          <w:p>
            <w:pPr>
              <w:spacing w:after="0"/>
              <w:rPr>
                <w:sz w:val="14"/>
                <w:szCs w:val="14"/>
                <w:color w:val="auto"/>
              </w:rPr>
            </w:pPr>
          </w:p>
        </w:tc>
      </w:tr>
      <w:tr>
        <w:trPr>
          <w:trHeight w:val="20"/>
        </w:trPr>
        <w:tc>
          <w:tcPr>
            <w:tcW w:w="56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880" w:type="dxa"/>
            <w:vAlign w:val="bottom"/>
            <w:tcBorders>
              <w:bottom w:val="single" w:sz="8" w:color="auto"/>
            </w:tcBorders>
          </w:tcPr>
          <w:p>
            <w:pPr>
              <w:spacing w:after="0" w:line="20" w:lineRule="exact"/>
              <w:rPr>
                <w:sz w:val="1"/>
                <w:szCs w:val="1"/>
                <w:color w:val="auto"/>
              </w:rPr>
            </w:pPr>
          </w:p>
        </w:tc>
      </w:tr>
      <w:tr>
        <w:trPr>
          <w:trHeight w:val="321"/>
        </w:trPr>
        <w:tc>
          <w:tcPr>
            <w:tcW w:w="56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300" w:right="319" w:bottom="1440" w:gutter="0" w:footer="0" w:header="0"/>
        </w:sectPr>
      </w:pPr>
    </w:p>
    <w:bookmarkStart w:id="63" w:name="page64"/>
    <w:bookmarkEnd w:id="63"/>
    <w:p>
      <w:pPr>
        <w:ind w:left="5320"/>
        <w:spacing w:after="0"/>
        <w:rPr>
          <w:sz w:val="20"/>
          <w:szCs w:val="20"/>
          <w:color w:val="auto"/>
        </w:rPr>
      </w:pPr>
      <w:r>
        <w:rPr>
          <w:rFonts w:ascii="Times New Roman" w:cs="Times New Roman" w:eastAsia="Times New Roman" w:hAnsi="Times New Roman"/>
          <w:sz w:val="14"/>
          <w:szCs w:val="14"/>
          <w:b w:val="1"/>
          <w:bCs w:val="1"/>
          <w:u w:val="single" w:color="auto"/>
          <w:color w:val="auto"/>
        </w:rPr>
        <w:t>FORM T-1</w:t>
      </w:r>
    </w:p>
    <w:p>
      <w:pPr>
        <w:spacing w:after="0" w:line="169"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4"/>
          <w:szCs w:val="14"/>
          <w:b w:val="1"/>
          <w:bCs w:val="1"/>
          <w:color w:val="auto"/>
        </w:rPr>
        <w:t>Item 1.</w:t>
      </w:r>
      <w:r>
        <w:rPr>
          <w:sz w:val="20"/>
          <w:szCs w:val="20"/>
          <w:color w:val="auto"/>
        </w:rPr>
        <w:tab/>
      </w:r>
      <w:r>
        <w:rPr>
          <w:rFonts w:ascii="Times New Roman" w:cs="Times New Roman" w:eastAsia="Times New Roman" w:hAnsi="Times New Roman"/>
          <w:sz w:val="13"/>
          <w:szCs w:val="13"/>
          <w:b w:val="1"/>
          <w:bCs w:val="1"/>
          <w:color w:val="auto"/>
        </w:rPr>
        <w:t>GENERAL INFORMATION</w:t>
      </w:r>
      <w:r>
        <w:rPr>
          <w:rFonts w:ascii="Times New Roman" w:cs="Times New Roman" w:eastAsia="Times New Roman" w:hAnsi="Times New Roman"/>
          <w:sz w:val="13"/>
          <w:szCs w:val="13"/>
          <w:b w:val="1"/>
          <w:bCs w:val="1"/>
          <w:i w:val="1"/>
          <w:iCs w:val="1"/>
          <w:color w:val="auto"/>
        </w:rPr>
        <w: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Furnish the following information as to the Trustee.</w:t>
      </w:r>
    </w:p>
    <w:p>
      <w:pPr>
        <w:spacing w:after="0" w:line="169" w:lineRule="exact"/>
        <w:rPr>
          <w:sz w:val="20"/>
          <w:szCs w:val="20"/>
          <w:color w:val="auto"/>
        </w:rPr>
      </w:pPr>
    </w:p>
    <w:p>
      <w:pPr>
        <w:ind w:left="1000" w:hanging="256"/>
        <w:spacing w:after="0"/>
        <w:tabs>
          <w:tab w:leader="none" w:pos="100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Name and address of each examining or supervising authority to which it is subject.</w:t>
      </w:r>
    </w:p>
    <w:p>
      <w:pPr>
        <w:spacing w:after="0" w:line="17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The Comptroller of the Currency</w:t>
      </w:r>
    </w:p>
    <w:p>
      <w:pPr>
        <w:spacing w:after="0" w:line="1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Mid-Western District</w:t>
      </w:r>
    </w:p>
    <w:p>
      <w:pPr>
        <w:spacing w:after="0" w:line="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2345 Grand Avenue, Suite 700</w:t>
      </w:r>
    </w:p>
    <w:p>
      <w:pPr>
        <w:spacing w:after="0" w:line="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Kansas City, Missouri 64108</w:t>
      </w:r>
    </w:p>
    <w:p>
      <w:pPr>
        <w:spacing w:after="0" w:line="15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Federal Reserve Bank of Kansas City</w:t>
      </w:r>
    </w:p>
    <w:p>
      <w:pPr>
        <w:spacing w:after="0" w:line="1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Federal Reserve P.O. Station</w:t>
      </w:r>
    </w:p>
    <w:p>
      <w:pPr>
        <w:spacing w:after="0" w:line="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Kansas City, Missouri 64198</w:t>
      </w:r>
    </w:p>
    <w:p>
      <w:pPr>
        <w:spacing w:after="0" w:line="15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Supervising Examiner</w:t>
      </w:r>
    </w:p>
    <w:p>
      <w:pPr>
        <w:spacing w:after="0" w:line="1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Federal Deposit Insurance Corporation</w:t>
      </w:r>
    </w:p>
    <w:p>
      <w:pPr>
        <w:spacing w:after="0" w:line="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720 Olive Street, Suite 2909</w:t>
      </w:r>
    </w:p>
    <w:p>
      <w:pPr>
        <w:spacing w:after="0" w:line="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St. Louis, Missouri 63101</w:t>
      </w:r>
    </w:p>
    <w:p>
      <w:pPr>
        <w:spacing w:after="0" w:line="151" w:lineRule="exact"/>
        <w:rPr>
          <w:sz w:val="20"/>
          <w:szCs w:val="20"/>
          <w:color w:val="auto"/>
        </w:rPr>
      </w:pPr>
    </w:p>
    <w:p>
      <w:pPr>
        <w:ind w:left="1480" w:right="6640" w:hanging="736"/>
        <w:spacing w:after="0" w:line="491" w:lineRule="auto"/>
        <w:tabs>
          <w:tab w:leader="none" w:pos="985"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Whether it is authorized to exercise corporate trust powers. </w:t>
      </w:r>
      <w:r>
        <w:rPr>
          <w:rFonts w:ascii="Times New Roman" w:cs="Times New Roman" w:eastAsia="Times New Roman" w:hAnsi="Times New Roman"/>
          <w:sz w:val="14"/>
          <w:szCs w:val="14"/>
          <w:color w:val="auto"/>
        </w:rPr>
        <w:t>Yes</w:t>
      </w:r>
    </w:p>
    <w:p>
      <w:pPr>
        <w:spacing w:after="0" w:line="1"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4"/>
          <w:szCs w:val="14"/>
          <w:b w:val="1"/>
          <w:bCs w:val="1"/>
          <w:color w:val="auto"/>
        </w:rPr>
        <w:t>Item 2.</w:t>
      </w:r>
      <w:r>
        <w:rPr>
          <w:sz w:val="20"/>
          <w:szCs w:val="20"/>
          <w:color w:val="auto"/>
        </w:rPr>
        <w:tab/>
      </w:r>
      <w:r>
        <w:rPr>
          <w:rFonts w:ascii="Times New Roman" w:cs="Times New Roman" w:eastAsia="Times New Roman" w:hAnsi="Times New Roman"/>
          <w:sz w:val="13"/>
          <w:szCs w:val="13"/>
          <w:b w:val="1"/>
          <w:bCs w:val="1"/>
          <w:color w:val="auto"/>
        </w:rPr>
        <w:t xml:space="preserve">AFFILIATIONS WITH OBLIGOR. </w:t>
      </w:r>
      <w:r>
        <w:rPr>
          <w:rFonts w:ascii="Times New Roman" w:cs="Times New Roman" w:eastAsia="Times New Roman" w:hAnsi="Times New Roman"/>
          <w:sz w:val="13"/>
          <w:szCs w:val="13"/>
          <w:i w:val="1"/>
          <w:iCs w:val="1"/>
          <w:color w:val="auto"/>
        </w:rPr>
        <w:t>If the obligor is an affiliate of the Trustee, describe each such affiliation.</w:t>
      </w:r>
    </w:p>
    <w:p>
      <w:pPr>
        <w:spacing w:after="0" w:line="17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color w:val="auto"/>
        </w:rPr>
        <w:t>None</w:t>
      </w:r>
    </w:p>
    <w:p>
      <w:pPr>
        <w:spacing w:after="0" w:line="165"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4"/>
          <w:szCs w:val="14"/>
          <w:b w:val="1"/>
          <w:bCs w:val="1"/>
          <w:color w:val="auto"/>
        </w:rPr>
        <w:t>Items 3-15</w:t>
      </w:r>
      <w:r>
        <w:rPr>
          <w:sz w:val="20"/>
          <w:szCs w:val="20"/>
          <w:color w:val="auto"/>
        </w:rPr>
        <w:tab/>
      </w:r>
      <w:r>
        <w:rPr>
          <w:rFonts w:ascii="Times New Roman" w:cs="Times New Roman" w:eastAsia="Times New Roman" w:hAnsi="Times New Roman"/>
          <w:sz w:val="13"/>
          <w:szCs w:val="13"/>
          <w:i w:val="1"/>
          <w:iCs w:val="1"/>
          <w:color w:val="auto"/>
        </w:rPr>
        <w:t>Items 3-15 are not applicable because, to the best of the Trustee's knowledge, the obligor is not in default under any Indenture for which the Trustee acts as Trustee.</w:t>
      </w:r>
    </w:p>
    <w:p>
      <w:pPr>
        <w:spacing w:after="0" w:line="169"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4"/>
          <w:szCs w:val="14"/>
          <w:b w:val="1"/>
          <w:bCs w:val="1"/>
          <w:color w:val="auto"/>
        </w:rPr>
        <w:t>Item 16.</w:t>
      </w:r>
      <w:r>
        <w:rPr>
          <w:sz w:val="20"/>
          <w:szCs w:val="20"/>
          <w:color w:val="auto"/>
        </w:rPr>
        <w:tab/>
      </w:r>
      <w:r>
        <w:rPr>
          <w:rFonts w:ascii="Times New Roman" w:cs="Times New Roman" w:eastAsia="Times New Roman" w:hAnsi="Times New Roman"/>
          <w:sz w:val="13"/>
          <w:szCs w:val="13"/>
          <w:b w:val="1"/>
          <w:bCs w:val="1"/>
          <w:color w:val="auto"/>
        </w:rPr>
        <w:t xml:space="preserve">LIST OF EXHIBITS: </w:t>
      </w:r>
      <w:r>
        <w:rPr>
          <w:rFonts w:ascii="Times New Roman" w:cs="Times New Roman" w:eastAsia="Times New Roman" w:hAnsi="Times New Roman"/>
          <w:sz w:val="13"/>
          <w:szCs w:val="13"/>
          <w:i w:val="1"/>
          <w:iCs w:val="1"/>
          <w:color w:val="auto"/>
        </w:rPr>
        <w:t>List below all exhibits filed as a part of this statement of eligibility and qualification.</w:t>
      </w:r>
    </w:p>
    <w:p>
      <w:pPr>
        <w:spacing w:after="0" w:line="173" w:lineRule="exact"/>
        <w:rPr>
          <w:sz w:val="20"/>
          <w:szCs w:val="20"/>
          <w:color w:val="auto"/>
        </w:rPr>
      </w:pPr>
    </w:p>
    <w:p>
      <w:pPr>
        <w:ind w:left="1040" w:hanging="296"/>
        <w:spacing w:after="0"/>
        <w:tabs>
          <w:tab w:leader="none" w:pos="104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copy of the Articles of Association of the Trustee (Exhibit 1 to Form T-1 filed with Registration Statement No. 333-74008).</w:t>
      </w:r>
    </w:p>
    <w:p>
      <w:pPr>
        <w:spacing w:after="0" w:line="168" w:lineRule="exact"/>
        <w:rPr>
          <w:rFonts w:ascii="Times New Roman" w:cs="Times New Roman" w:eastAsia="Times New Roman" w:hAnsi="Times New Roman"/>
          <w:sz w:val="14"/>
          <w:szCs w:val="14"/>
          <w:color w:val="auto"/>
        </w:rPr>
      </w:pPr>
    </w:p>
    <w:p>
      <w:pPr>
        <w:ind w:left="1040" w:hanging="296"/>
        <w:spacing w:after="0" w:line="271" w:lineRule="auto"/>
        <w:tabs>
          <w:tab w:leader="none" w:pos="104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Certificate of Authority from the Comptroller of the Currency evidencing a change of the corporate title of the Association (Exhibit 2 to Form T-1 filed with Registration Statement No. 333-74008).</w:t>
      </w:r>
    </w:p>
    <w:p>
      <w:pPr>
        <w:spacing w:after="0" w:line="131" w:lineRule="exact"/>
        <w:rPr>
          <w:rFonts w:ascii="Times New Roman" w:cs="Times New Roman" w:eastAsia="Times New Roman" w:hAnsi="Times New Roman"/>
          <w:sz w:val="14"/>
          <w:szCs w:val="14"/>
          <w:color w:val="auto"/>
        </w:rPr>
      </w:pPr>
    </w:p>
    <w:p>
      <w:pPr>
        <w:ind w:left="1040" w:right="140" w:hanging="296"/>
        <w:spacing w:after="0" w:line="271" w:lineRule="auto"/>
        <w:tabs>
          <w:tab w:leader="none" w:pos="104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Certificate from the Comptroller of the Currency evidencing authority to exercise corporate trust powers and a letter evidencing a change of the corporate title of the Association (Exhibit 3 to Form T-1 filed with Registration Statement No. 333-74008).</w:t>
      </w:r>
    </w:p>
    <w:p>
      <w:pPr>
        <w:spacing w:after="0" w:line="131" w:lineRule="exact"/>
        <w:rPr>
          <w:rFonts w:ascii="Times New Roman" w:cs="Times New Roman" w:eastAsia="Times New Roman" w:hAnsi="Times New Roman"/>
          <w:sz w:val="14"/>
          <w:szCs w:val="14"/>
          <w:color w:val="auto"/>
        </w:rPr>
      </w:pPr>
    </w:p>
    <w:p>
      <w:pPr>
        <w:ind w:left="1040" w:hanging="296"/>
        <w:spacing w:after="0"/>
        <w:tabs>
          <w:tab w:leader="none" w:pos="104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Bylaws, as amended of the Trustee (Exhibit 4 to Form T-1 filed with Registration Statement No. 333-74008).</w:t>
      </w:r>
    </w:p>
    <w:p>
      <w:pPr>
        <w:spacing w:after="0" w:line="168" w:lineRule="exact"/>
        <w:rPr>
          <w:rFonts w:ascii="Times New Roman" w:cs="Times New Roman" w:eastAsia="Times New Roman" w:hAnsi="Times New Roman"/>
          <w:sz w:val="14"/>
          <w:szCs w:val="14"/>
          <w:color w:val="auto"/>
        </w:rPr>
      </w:pPr>
    </w:p>
    <w:p>
      <w:pPr>
        <w:ind w:left="1040" w:hanging="296"/>
        <w:spacing w:after="0"/>
        <w:tabs>
          <w:tab w:leader="none" w:pos="104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copy of each Indenture referred to in Item 4. Not applicable.</w:t>
      </w:r>
    </w:p>
    <w:p>
      <w:pPr>
        <w:spacing w:after="0" w:line="168" w:lineRule="exact"/>
        <w:rPr>
          <w:rFonts w:ascii="Times New Roman" w:cs="Times New Roman" w:eastAsia="Times New Roman" w:hAnsi="Times New Roman"/>
          <w:sz w:val="14"/>
          <w:szCs w:val="14"/>
          <w:color w:val="auto"/>
        </w:rPr>
      </w:pPr>
    </w:p>
    <w:p>
      <w:pPr>
        <w:ind w:left="1040" w:hanging="296"/>
        <w:spacing w:after="0"/>
        <w:tabs>
          <w:tab w:leader="none" w:pos="104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consent of the Trustee required by Section 321(b) of the Act (Exhibit 6 to Registration Statement No. 333-74008).</w:t>
      </w:r>
    </w:p>
    <w:p>
      <w:pPr>
        <w:spacing w:after="0" w:line="168" w:lineRule="exact"/>
        <w:rPr>
          <w:rFonts w:ascii="Times New Roman" w:cs="Times New Roman" w:eastAsia="Times New Roman" w:hAnsi="Times New Roman"/>
          <w:sz w:val="14"/>
          <w:szCs w:val="14"/>
          <w:color w:val="auto"/>
        </w:rPr>
      </w:pPr>
    </w:p>
    <w:p>
      <w:pPr>
        <w:ind w:left="1040" w:hanging="296"/>
        <w:spacing w:after="0"/>
        <w:tabs>
          <w:tab w:leader="none" w:pos="104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Report of Condition of the Trustee as of March 31, 2026 published pursuant to law or the requirements of its supervising or examining authority, attached as Exhibit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219710</wp:posOffset>
            </wp:positionV>
            <wp:extent cx="7164705" cy="63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9">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0900"/>
          </w:cols>
          <w:pgMar w:left="300" w:top="720" w:right="699" w:bottom="1440" w:gutter="0" w:footer="0" w:header="0"/>
        </w:sectPr>
      </w:pPr>
    </w:p>
    <w:bookmarkStart w:id="64" w:name="page65"/>
    <w:bookmarkEnd w:id="64"/>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173" w:lineRule="exact"/>
        <w:rPr>
          <w:sz w:val="20"/>
          <w:szCs w:val="20"/>
          <w:color w:val="auto"/>
        </w:rPr>
      </w:pPr>
    </w:p>
    <w:p>
      <w:pPr>
        <w:ind w:firstLine="495"/>
        <w:spacing w:after="0" w:line="273" w:lineRule="auto"/>
        <w:rPr>
          <w:sz w:val="20"/>
          <w:szCs w:val="20"/>
          <w:color w:val="auto"/>
        </w:rPr>
      </w:pPr>
      <w:r>
        <w:rPr>
          <w:rFonts w:ascii="Times New Roman" w:cs="Times New Roman" w:eastAsia="Times New Roman" w:hAnsi="Times New Roman"/>
          <w:sz w:val="14"/>
          <w:szCs w:val="14"/>
          <w:color w:val="auto"/>
        </w:rPr>
        <w:t>Pursuant to the requirements of the Trust Indenture Act of 1939, as amended, the Trustee, UMB BANK, NATIONAL ASSOCIATION, a national banking association organized and existing under the laws of the United States of America, has duly caused this statement of eligibility and qualification to be signed on its behalf by the undersigned, thereunto duly authorized, all in the city of Houston, State of Texas on the 4</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4"/>
          <w:szCs w:val="14"/>
          <w:color w:val="auto"/>
        </w:rPr>
        <w:t xml:space="preserve"> of June, 2026.</w:t>
      </w:r>
    </w:p>
    <w:p>
      <w:pPr>
        <w:spacing w:after="0" w:line="36" w:lineRule="exact"/>
        <w:rPr>
          <w:sz w:val="20"/>
          <w:szCs w:val="20"/>
          <w:color w:val="auto"/>
        </w:rPr>
      </w:pPr>
    </w:p>
    <w:p>
      <w:pPr>
        <w:ind w:left="5640"/>
        <w:spacing w:after="0"/>
        <w:tabs>
          <w:tab w:leader="none" w:pos="5960" w:val="left"/>
        </w:tabs>
        <w:rPr>
          <w:sz w:val="20"/>
          <w:szCs w:val="20"/>
          <w:color w:val="auto"/>
        </w:rPr>
      </w:pPr>
      <w:r>
        <w:rPr>
          <w:rFonts w:ascii="Times New Roman" w:cs="Times New Roman" w:eastAsia="Times New Roman" w:hAnsi="Times New Roman"/>
          <w:sz w:val="14"/>
          <w:szCs w:val="14"/>
          <w:color w:val="auto"/>
        </w:rPr>
        <w:t>By:</w:t>
        <w:tab/>
        <w:t>/s/ James Henry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3803015</wp:posOffset>
            </wp:positionH>
            <wp:positionV relativeFrom="paragraph">
              <wp:posOffset>10795</wp:posOffset>
            </wp:positionV>
            <wp:extent cx="3362960" cy="63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0">
                      <a:extLst>
                        <a:ext uri="{28A0092B-C50C-407E-A947-70E740481C1C}"/>
                      </a:extLst>
                    </a:blip>
                    <a:srcRect/>
                    <a:stretch>
                      <a:fillRect/>
                    </a:stretch>
                  </pic:blipFill>
                  <pic:spPr bwMode="auto">
                    <a:xfrm>
                      <a:off x="0" y="0"/>
                      <a:ext cx="3362960" cy="6350"/>
                    </a:xfrm>
                    <a:prstGeom prst="rect">
                      <a:avLst/>
                    </a:prstGeom>
                    <a:noFill/>
                  </pic:spPr>
                </pic:pic>
              </a:graphicData>
            </a:graphic>
          </wp:anchor>
        </w:drawing>
      </w:r>
    </w:p>
    <w:p>
      <w:pPr>
        <w:ind w:left="5980"/>
        <w:spacing w:after="0"/>
        <w:rPr>
          <w:sz w:val="20"/>
          <w:szCs w:val="20"/>
          <w:color w:val="auto"/>
        </w:rPr>
      </w:pPr>
      <w:r>
        <w:rPr>
          <w:rFonts w:ascii="Times New Roman" w:cs="Times New Roman" w:eastAsia="Times New Roman" w:hAnsi="Times New Roman"/>
          <w:sz w:val="14"/>
          <w:szCs w:val="14"/>
          <w:color w:val="auto"/>
        </w:rPr>
        <w:t>James Henry</w:t>
      </w:r>
    </w:p>
    <w:p>
      <w:pPr>
        <w:spacing w:after="0" w:line="14"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4"/>
          <w:szCs w:val="14"/>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211455</wp:posOffset>
            </wp:positionV>
            <wp:extent cx="7164705" cy="63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1">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40"/>
          </w:cols>
          <w:pgMar w:left="300" w:top="720" w:right="35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Exhibit 7</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344805</wp:posOffset>
            </wp:positionV>
            <wp:extent cx="7164705" cy="63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2">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9019"/>
          </w:cols>
          <w:pgMar w:left="1440" w:top="720" w:right="1440" w:bottom="1440" w:gutter="0" w:footer="0" w:header="0"/>
        </w:sectPr>
      </w:pPr>
    </w:p>
    <w:bookmarkStart w:id="66" w:name="page67"/>
    <w:bookmarkEnd w:id="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381635</wp:posOffset>
            </wp:positionH>
            <wp:positionV relativeFrom="page">
              <wp:posOffset>488315</wp:posOffset>
            </wp:positionV>
            <wp:extent cx="6784975" cy="74720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3">
                      <a:extLst>
                        <a:ext uri="{28A0092B-C50C-407E-A947-70E740481C1C}"/>
                      </a:extLst>
                    </a:blip>
                    <a:srcRect/>
                    <a:stretch>
                      <a:fillRect/>
                    </a:stretch>
                  </pic:blipFill>
                  <pic:spPr bwMode="auto">
                    <a:xfrm>
                      <a:off x="0" y="0"/>
                      <a:ext cx="6784975" cy="7472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381635</wp:posOffset>
            </wp:positionH>
            <wp:positionV relativeFrom="page">
              <wp:posOffset>88900</wp:posOffset>
            </wp:positionV>
            <wp:extent cx="6784975" cy="74790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4">
                      <a:extLst>
                        <a:ext uri="{28A0092B-C50C-407E-A947-70E740481C1C}"/>
                      </a:extLst>
                    </a:blip>
                    <a:srcRect/>
                    <a:stretch>
                      <a:fillRect/>
                    </a:stretch>
                  </pic:blipFill>
                  <pic:spPr bwMode="auto">
                    <a:xfrm>
                      <a:off x="0" y="0"/>
                      <a:ext cx="6784975" cy="7479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LETTER OF TRANSMITTAL</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to Tender for Exchange</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Any and All Unregistered Outstanding</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7.25% Fixed-to-Floating Rate Subordinated Notes due 2036</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Exchange for Registered</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7.25% Fixed-to-Floating Rate Subordinated Notes due 2036</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of</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HANOVER BANCORP, INC.</w:t>
      </w:r>
    </w:p>
    <w:p>
      <w:pPr>
        <w:spacing w:after="0" w:line="151" w:lineRule="exact"/>
        <w:rPr>
          <w:sz w:val="20"/>
          <w:szCs w:val="20"/>
          <w:color w:val="auto"/>
        </w:rPr>
      </w:pPr>
    </w:p>
    <w:tbl>
      <w:tblPr>
        <w:tblLayout w:type="fixed"/>
        <w:tblInd w:w="4260" w:type="dxa"/>
        <w:tblCellMar>
          <w:top w:w="0" w:type="dxa"/>
          <w:left w:w="0" w:type="dxa"/>
          <w:bottom w:w="0" w:type="dxa"/>
          <w:right w:w="0" w:type="dxa"/>
        </w:tblCellMar>
      </w:tblPr>
      <w:tr>
        <w:trPr>
          <w:trHeight w:val="182"/>
        </w:trPr>
        <w:tc>
          <w:tcPr>
            <w:tcW w:w="2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Pursuant to the Prospectus Dated [</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2026</w:t>
            </w:r>
          </w:p>
        </w:tc>
      </w:tr>
    </w:tbl>
    <w:p>
      <w:pPr>
        <w:spacing w:after="0" w:line="147"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4"/>
          <w:szCs w:val="14"/>
          <w:b w:val="1"/>
          <w:bCs w:val="1"/>
          <w:color w:val="auto"/>
        </w:rPr>
        <w:t>The Exchange Offer will expire at 11:59 p.m., New York City time, on [ ], 2026, unless extended (the “Expiration Date”). Old Notes (defined below) tendered in the Exchange Offer may be withdrawn at any time prior to 5:00 p.m., New York City time, on the Expiration Date, but not thereafter.</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The “Exchange Agent” is: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UMB Bank, N.A.</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By Mail, Overnight Mail or Courier:</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UMB Bank, N.A.</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Attention: James Henry, Corporate Trust Services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5555 San Felipe Street, Suite 870</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Houston, Texas 77056</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By Facsimile Transmission (Eligible Institutions Only):</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(214) 389-5949</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Confirm by Telephone or for Information Call:</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(512) 582-5851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219710</wp:posOffset>
            </wp:positionV>
            <wp:extent cx="7164705" cy="63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5">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300" w:right="31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b w:val="1"/>
          <w:bCs w:val="1"/>
          <w:color w:val="auto"/>
        </w:rPr>
        <w:t>PRELIMINARY INSTRUCTIONS</w:t>
      </w:r>
    </w:p>
    <w:p>
      <w:pPr>
        <w:spacing w:after="0" w:line="17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4"/>
          <w:szCs w:val="14"/>
          <w:color w:val="auto"/>
        </w:rPr>
        <w:t>The undersigned hereby acknowledges receipt of the prospectus, dated as of [ ], 2026 (as it may be amended or supplemented from time to time, the “Prospectus”), of Hanover Bancorp, Inc. (the “Issuer”) which, together with this Letter of Transmittal, constitute the Issuer’s offer to exchange (the “Exchange Offer”) up to $35,000,000 aggregate principal amount of 7.25% Fixed-to-Floating Rate Subordinated Notes due 2036 (Registered CUSIP: [ ]) (the “New Notes”), which have been registered under the Securities Act of 1933, as amended (the “Securities Act”), for any and all of its outstanding unregistered 7.25% Fixed-to-Floating Rate Subordinated Notes due 2036 (Accredited Investor CUSIP: 410710 AD9; QIB CUSIP: 410710 AC1) (the “Old Notes”).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Old Notes may be tendered only in minimum denominations of $100,000 and any integral multiple of $1,000 in excess thereof.</w:t>
      </w:r>
    </w:p>
    <w:p>
      <w:pPr>
        <w:spacing w:after="0" w:line="169"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3"/>
          <w:szCs w:val="13"/>
          <w:color w:val="auto"/>
        </w:rPr>
        <w:t xml:space="preserve">Tender of the Old Notes is to be made by book-entry transfer to the Exchange Agent’s account at the Depository Trust Company (“DTC”) by executing the tender through the DTC Automated Tender Offer Program (“ATOP”), for which the Exchange Offer is eligible. DTC participants that are tendering Old Notes pursuant to the Exchange Offer must transmit their acceptance through the ATOP to DTC, which will verify the acceptance and execute a book-entry delivery to the Exchange Agent’s DTC account. DTC will then send an agent’s message to the Exchange Agent for its acceptance. For you to validly tender your Old Notes pursuant to the Exchange Offer, the Exchange Agent must receive, prior to the Expiration Date, an agent’s message under the ATOP procedures confirming that (i) DTC has received your instructions to tender your Old Notes and (ii) you agree to be bound by the terms of this Letter of Transmittal. </w:t>
      </w:r>
      <w:r>
        <w:rPr>
          <w:rFonts w:ascii="Times New Roman" w:cs="Times New Roman" w:eastAsia="Times New Roman" w:hAnsi="Times New Roman"/>
          <w:sz w:val="13"/>
          <w:szCs w:val="13"/>
          <w:b w:val="1"/>
          <w:bCs w:val="1"/>
          <w:color w:val="auto"/>
        </w:rPr>
        <w:t>Accordingly, this Letter of Transmittal need not be completed and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delivered by a holder tendering through the ATOP. However, such holder, as a result of its transmission of acceptance to DTC, will be bound by the terms of this Letter of Transmittal and the terms of the Exchange Offer, as described in the Prospectus and this Letter of Transmittal. Delivery by a holder of documents to DTC does not constitute delivery to the Exchange Agent.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is no procedure for guaranteed delivery of Old Notes held in book-entry.</w:t>
      </w:r>
    </w:p>
    <w:p>
      <w:pPr>
        <w:spacing w:after="0" w:line="169"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4"/>
          <w:szCs w:val="14"/>
          <w:color w:val="auto"/>
        </w:rPr>
        <w:t>The Issuer reserves the right, at any time or from time to time, to extend the period of time during which the Exchange Offer is open, at its discretion, in which event the term “Expiration Date” shall mean the latest date to which the Exchange Offer is extended. The Issuer shall notify the Exchange Agent and each registered holder of the Old Notes of any such extension by oral or written notice no later than 9:00 a.m., New York City time, on the next business day after the previously scheduled Expiration Date.</w:t>
      </w:r>
    </w:p>
    <w:p>
      <w:pPr>
        <w:spacing w:after="0" w:line="136" w:lineRule="exact"/>
        <w:rPr>
          <w:sz w:val="20"/>
          <w:szCs w:val="20"/>
          <w:color w:val="auto"/>
        </w:rPr>
      </w:pPr>
    </w:p>
    <w:p>
      <w:pPr>
        <w:ind w:right="20"/>
        <w:spacing w:after="0" w:line="317" w:lineRule="auto"/>
        <w:rPr>
          <w:sz w:val="20"/>
          <w:szCs w:val="20"/>
          <w:color w:val="auto"/>
        </w:rPr>
      </w:pPr>
      <w:r>
        <w:rPr>
          <w:rFonts w:ascii="Times New Roman" w:cs="Times New Roman" w:eastAsia="Times New Roman" w:hAnsi="Times New Roman"/>
          <w:sz w:val="13"/>
          <w:szCs w:val="13"/>
          <w:b w:val="1"/>
          <w:bCs w:val="1"/>
          <w:color w:val="auto"/>
        </w:rPr>
        <w:t>Please read this entire Letter of Transmittal, including the instructions set forth below, and the Prospectus, including the information incorporated by reference therein, carefully. Questions and requests for assistance or for additional copies of the Prospectus and this Letter of Transmittal may be directed to the Exchange Agent. See Instruction 8 of this Letter of Transmittal.</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Remainder of page intentionally left blank</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222250</wp:posOffset>
            </wp:positionV>
            <wp:extent cx="7164705" cy="63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6">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720" w:right="31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b w:val="1"/>
          <w:bCs w:val="1"/>
          <w:color w:val="auto"/>
        </w:rPr>
        <w:t>PLEASE READ THE ACCOMPANYING INSTRUCTIONS CAREFULLY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Ladies and Gentlemen:</w:t>
      </w:r>
    </w:p>
    <w:p>
      <w:pPr>
        <w:spacing w:after="0" w:line="16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4"/>
          <w:szCs w:val="14"/>
          <w:color w:val="auto"/>
        </w:rPr>
        <w:t>Subject to the terms and conditions of the Exchange Offer, the undersigned hereby tenders to the Issuer for exchange the principal amount of Old Notes credited by the undersigned to the Exchange Agent’s account at DTC using the ATOP. Subject to and effective upon the acceptance for exchange of the principal amount of Old Notes tendered in accordance with this Letter of Transmittal, the undersigned hereby exchanges, assigns and transfers to, or upon the order of, the Issuer all right, title and interest in and to such Old Notes tendered for exchange hereby. The undersigned hereby irrevocably constitutes and appoints the Exchange Agent as the true and lawful agent and attorney-in-fact for the undersigned (with full knowledge that such Exchange Agent also acts as the agent for the Issuer in connection with the Exchange Offer) with respect to the tendered Old Notes with full power of substitution to:</w:t>
      </w:r>
    </w:p>
    <w:p>
      <w:pPr>
        <w:spacing w:after="0" w:line="144" w:lineRule="exact"/>
        <w:rPr>
          <w:sz w:val="20"/>
          <w:szCs w:val="20"/>
          <w:color w:val="auto"/>
        </w:rPr>
      </w:pPr>
    </w:p>
    <w:p>
      <w:pPr>
        <w:ind w:left="500" w:right="40" w:hanging="250"/>
        <w:spacing w:after="0" w:line="258" w:lineRule="auto"/>
        <w:tabs>
          <w:tab w:leader="none" w:pos="500" w:val="left"/>
        </w:tabs>
        <w:numPr>
          <w:ilvl w:val="0"/>
          <w:numId w:val="50"/>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transfer ownership of such Old Notes, on the account books maintained by DTC, and to deliver all accompanying evidences of transfer and authenticity to, or upon the order of, the Issuer upon receipt by the Exchange Agent, as the undersigned’s agent, of the New Notes to which the undersigned is entitled upon the acceptance by the Issuer of such Old Notes for exchange pursuant to the Exchange Offer; and</w:t>
      </w:r>
    </w:p>
    <w:p>
      <w:pPr>
        <w:spacing w:after="0" w:line="139" w:lineRule="exact"/>
        <w:rPr>
          <w:rFonts w:ascii="Arial" w:cs="Arial" w:eastAsia="Arial" w:hAnsi="Arial"/>
          <w:sz w:val="14"/>
          <w:szCs w:val="14"/>
          <w:b w:val="1"/>
          <w:bCs w:val="1"/>
          <w:color w:val="auto"/>
        </w:rPr>
      </w:pPr>
    </w:p>
    <w:p>
      <w:pPr>
        <w:ind w:left="500" w:right="120" w:hanging="250"/>
        <w:spacing w:after="0" w:line="270" w:lineRule="auto"/>
        <w:tabs>
          <w:tab w:leader="none" w:pos="500" w:val="left"/>
        </w:tabs>
        <w:numPr>
          <w:ilvl w:val="0"/>
          <w:numId w:val="50"/>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present such Old Notes for transfer on the books of the Issuer and receive all benefits and otherwise exercise all rights of beneficial ownership of such Old Notes, all in accordance with the terms of the Exchange Offer.</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power of attorney granted in this paragraph shall be deemed to be irrevocable and coupled with an interest.</w:t>
      </w:r>
    </w:p>
    <w:p>
      <w:pPr>
        <w:spacing w:after="0" w:line="169"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4"/>
          <w:szCs w:val="14"/>
          <w:color w:val="auto"/>
        </w:rPr>
        <w:t>The undersigned hereby represents and warrants that the undersigned has full power and authority to tender, exchange, assign and transfer the Old Notes tendered hereby and to acquire the New Notes issuable upon the exchange of such tendered Old Notes, and that the Issuer will acquire good and unencumbered title to such Old Notes, free and clear of all liens, restrictions, charges and encumbrances and not subject to any adverse claim or right, when the same are accepted for exchange by the Issuer. The undersigned also warrants that it will, upon request, execute and deliver any additional documents deemed by the Exchange Agent or the Issuer to be necessary or desirable to complete the sale, exchange, assignment and transfer of tendered Old Notes or to transfer ownership of such notes on the account books maintained by DTC. The undersigned agrees to all of the terms of the Exchange Offer, as described in the Prospectus and this Letter of Transmittal.</w:t>
      </w:r>
    </w:p>
    <w:p>
      <w:pPr>
        <w:spacing w:after="0" w:line="144"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4"/>
          <w:szCs w:val="14"/>
          <w:color w:val="auto"/>
        </w:rPr>
        <w:t>The undersigned acknowledges that the Exchange Offer is being made in reliance upon interpretations set forth in “no-action” letters issued to third parties by the staff of the U.S. Securities and Exchange Commission (the “SEC”), that the New Notes issued in exchange for the Old Notes pursuant to the Exchange Offer may be offered for resale, resold and otherwise transferred by a holder thereof (other than any holder that is a broker-dealer who purchased Old Notes directly from the Issuer for resale and any holder that is an “affiliate” of the Issuer within the meaning of Rule 405 under the Securities Act) without compliance with the registration and prospectus delivery provisions of the Securities Act (except for prospectus delivery obligations applicable to certain broker-dealers), provided that such New Notes are acquired in the ordinary course of such holder’s business and such holder is not engaged in, and does not intend to engage in, and has no arrangement or understanding with any person to participate in, a distribution of such New Notes. The SEC has not, however, considered this Exchange Offer in the context of a “no-action letter,” and there can be no assurance that the staff of the SEC would make a similar determination with respect to the Exchange Offer as it has in other circumstances.</w:t>
      </w:r>
    </w:p>
    <w:p>
      <w:pPr>
        <w:spacing w:after="0" w:line="145" w:lineRule="exact"/>
        <w:rPr>
          <w:sz w:val="20"/>
          <w:szCs w:val="20"/>
          <w:color w:val="auto"/>
        </w:rPr>
      </w:pPr>
    </w:p>
    <w:p>
      <w:pPr>
        <w:ind w:right="160"/>
        <w:spacing w:after="0" w:line="280" w:lineRule="auto"/>
        <w:rPr>
          <w:sz w:val="20"/>
          <w:szCs w:val="20"/>
          <w:color w:val="auto"/>
        </w:rPr>
      </w:pPr>
      <w:r>
        <w:rPr>
          <w:rFonts w:ascii="Times New Roman" w:cs="Times New Roman" w:eastAsia="Times New Roman" w:hAnsi="Times New Roman"/>
          <w:sz w:val="13"/>
          <w:szCs w:val="13"/>
          <w:color w:val="auto"/>
        </w:rPr>
        <w:t>The undersigned hereby further represents to the Issuer that (i) any New Notes received in exchange for Old Notes are being acquired in the ordinary course of business of the person receiving such New Notes, whether or not such person is the undersigned, (ii) neither the undersigned nor any such other person has any arrangement or understanding with any person to participate in the distribution of the Old Notes or the New Notes within the meaning of the Securities Act and (iii) neither the undersigned nor any such other person is an “affiliate” of the Issuer within the meaning of Rule 405 under the Securities Act, or if any such person is an “affiliate,” such person will comply with the registration and prospectus delivery requirements of the Securities Act to the extent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193040</wp:posOffset>
            </wp:positionV>
            <wp:extent cx="7164705" cy="63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7">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720" w:right="319" w:bottom="1440" w:gutter="0" w:footer="0" w:header="0"/>
        </w:sectPr>
      </w:pPr>
    </w:p>
    <w:bookmarkStart w:id="71" w:name="page72"/>
    <w:bookmarkEnd w:id="71"/>
    <w:p>
      <w:pPr>
        <w:spacing w:after="0" w:line="250" w:lineRule="auto"/>
        <w:rPr>
          <w:sz w:val="20"/>
          <w:szCs w:val="20"/>
          <w:color w:val="auto"/>
        </w:rPr>
      </w:pPr>
      <w:r>
        <w:rPr>
          <w:rFonts w:ascii="Times New Roman" w:cs="Times New Roman" w:eastAsia="Times New Roman" w:hAnsi="Times New Roman"/>
          <w:sz w:val="14"/>
          <w:szCs w:val="14"/>
          <w:color w:val="auto"/>
        </w:rPr>
        <w:t>The undersigned represents that it is not engaged in, and does not intend to engage in, a distribution of New Notes. If the undersigned is a broker-dealer, it represents that it will receive New Notes in exchange for Old Notes that were acquired for its own account as a result of market-making activities or other trading activities, and it acknowledges that it will deliver a prospectus meeting the requirements of the Securities Act in connection with any resale of such New Notes; however, by so acknowledging and by delivering a prospectus, the undersigned will not be deemed to admit that it is an “underwriter” within the meaning of the Securities Act. If the undersigned is a broker-dealer, the undersigned represents that it did not purchase the Old Notes to be exchanged for the New Notes from the Issuer. Additionally, the undersigned represents that it is not acting on behalf of any person who could not truthfully and completely make the foregoing representations and the representations in the immediately preceding paragraph.</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undersigned acknowledges that if the undersigned is tendering Old Notes in the Exchange Offer with the intention of participating in any manner in a distribution of the New Notes:</w:t>
      </w:r>
    </w:p>
    <w:p>
      <w:pPr>
        <w:spacing w:after="0" w:line="169" w:lineRule="exact"/>
        <w:rPr>
          <w:sz w:val="20"/>
          <w:szCs w:val="20"/>
          <w:color w:val="auto"/>
        </w:rPr>
      </w:pPr>
    </w:p>
    <w:p>
      <w:pPr>
        <w:ind w:left="500" w:right="160" w:hanging="250"/>
        <w:spacing w:after="0" w:line="258" w:lineRule="auto"/>
        <w:tabs>
          <w:tab w:leader="none" w:pos="500" w:val="left"/>
        </w:tabs>
        <w:numPr>
          <w:ilvl w:val="0"/>
          <w:numId w:val="51"/>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the undersigned cannot rely on the position of the staff of the SEC set forth in the above mentioned “no-action” letters and, in the absence of an exemption therefrom, must comply with the registration and prospectus delivery requirements of the Securities Act in connection with a secondary resale transaction of the New Notes, in which case the registration statement must contain the selling security holder information required by Item 507 or Item 508, as applicable, of Regulation S-K promulgated by the SEC; and</w:t>
      </w:r>
    </w:p>
    <w:p>
      <w:pPr>
        <w:spacing w:after="0" w:line="139" w:lineRule="exact"/>
        <w:rPr>
          <w:rFonts w:ascii="Arial" w:cs="Arial" w:eastAsia="Arial" w:hAnsi="Arial"/>
          <w:sz w:val="14"/>
          <w:szCs w:val="14"/>
          <w:b w:val="1"/>
          <w:bCs w:val="1"/>
          <w:color w:val="auto"/>
        </w:rPr>
      </w:pPr>
    </w:p>
    <w:p>
      <w:pPr>
        <w:ind w:left="500" w:hanging="250"/>
        <w:spacing w:after="0"/>
        <w:tabs>
          <w:tab w:leader="none" w:pos="500" w:val="left"/>
        </w:tabs>
        <w:numPr>
          <w:ilvl w:val="0"/>
          <w:numId w:val="51"/>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failure to comply with such requirements in such instance could result in the undersigned incurring liability for which the undersigned is not indemnified by the Issuer.</w:t>
      </w:r>
    </w:p>
    <w:p>
      <w:pPr>
        <w:spacing w:after="0" w:line="168" w:lineRule="exact"/>
        <w:rPr>
          <w:sz w:val="20"/>
          <w:szCs w:val="20"/>
          <w:color w:val="auto"/>
        </w:rPr>
      </w:pPr>
    </w:p>
    <w:p>
      <w:pPr>
        <w:ind w:right="320"/>
        <w:spacing w:after="0" w:line="271" w:lineRule="auto"/>
        <w:rPr>
          <w:sz w:val="20"/>
          <w:szCs w:val="20"/>
          <w:color w:val="auto"/>
        </w:rPr>
      </w:pPr>
      <w:r>
        <w:rPr>
          <w:rFonts w:ascii="Times New Roman" w:cs="Times New Roman" w:eastAsia="Times New Roman" w:hAnsi="Times New Roman"/>
          <w:sz w:val="14"/>
          <w:szCs w:val="14"/>
          <w:color w:val="auto"/>
        </w:rPr>
        <w:t>The undersigned will, upon request, execute and deliver any additional documents deemed by the Exchange Agent or the Issuer to be necessary or desirable to complete the exchange, assignment and transfer of the Old Notes tendered hereby.</w:t>
      </w:r>
    </w:p>
    <w:p>
      <w:pPr>
        <w:spacing w:after="0" w:line="131" w:lineRule="exact"/>
        <w:rPr>
          <w:sz w:val="20"/>
          <w:szCs w:val="20"/>
          <w:color w:val="auto"/>
        </w:rPr>
      </w:pPr>
    </w:p>
    <w:p>
      <w:pPr>
        <w:jc w:val="both"/>
        <w:ind w:right="200"/>
        <w:spacing w:after="0" w:line="254" w:lineRule="auto"/>
        <w:rPr>
          <w:sz w:val="20"/>
          <w:szCs w:val="20"/>
          <w:color w:val="auto"/>
        </w:rPr>
      </w:pPr>
      <w:r>
        <w:rPr>
          <w:rFonts w:ascii="Times New Roman" w:cs="Times New Roman" w:eastAsia="Times New Roman" w:hAnsi="Times New Roman"/>
          <w:sz w:val="14"/>
          <w:szCs w:val="14"/>
          <w:color w:val="auto"/>
        </w:rPr>
        <w:t>For purposes of the Exchange Offer, the Issuer shall be deemed to have accepted for exchange validly tendered Old Notes when, as and if the Issuer gives oral or written notice thereof to the Exchange Agent. New Notes issued in exchange for the Old Notes accepted for exchange will be issued in the name of the undersigned. Any tendered Old Notes that are not accepted for exchange pursuant to the Exchange Offer for any reason will be returned, without expense, to the undersigned’s account at DTC, pursuant to the book-entry procedures described in the Prospectus, promptly after the Expiration Date or the Issuer’s withdrawal of the Exchange Offer, as applicable. See Instructions 3 and 6 of this Letter of Transmittal.</w:t>
      </w:r>
    </w:p>
    <w:p>
      <w:pPr>
        <w:spacing w:after="0" w:line="143" w:lineRule="exact"/>
        <w:rPr>
          <w:sz w:val="20"/>
          <w:szCs w:val="20"/>
          <w:color w:val="auto"/>
        </w:rPr>
      </w:pPr>
    </w:p>
    <w:p>
      <w:pPr>
        <w:jc w:val="both"/>
        <w:ind w:right="80"/>
        <w:spacing w:after="0" w:line="258" w:lineRule="auto"/>
        <w:rPr>
          <w:sz w:val="20"/>
          <w:szCs w:val="20"/>
          <w:color w:val="auto"/>
        </w:rPr>
      </w:pPr>
      <w:r>
        <w:rPr>
          <w:rFonts w:ascii="Times New Roman" w:cs="Times New Roman" w:eastAsia="Times New Roman" w:hAnsi="Times New Roman"/>
          <w:sz w:val="14"/>
          <w:szCs w:val="14"/>
          <w:color w:val="auto"/>
        </w:rPr>
        <w:t>All authority conferred or agreed to be conferred by this Letter of Transmittal shall not be affected by, and shall survive, the death, incapacity or dissolution of the undersigned, and every obligation of the undersigned under this Letter of Transmittal shall be binding upon the undersigned’s successors, assigns, heirs, executors, administrators, trustees in bankruptcy and legal representatives. This tender may be withdrawn only in accordance with the procedures set forth in the Prospectus under the section entitled “</w:t>
      </w:r>
      <w:r>
        <w:rPr>
          <w:rFonts w:ascii="Times New Roman" w:cs="Times New Roman" w:eastAsia="Times New Roman" w:hAnsi="Times New Roman"/>
          <w:sz w:val="14"/>
          <w:szCs w:val="14"/>
          <w:i w:val="1"/>
          <w:iCs w:val="1"/>
          <w:color w:val="auto"/>
        </w:rPr>
        <w:t>The Exchange Offer — Withdrawal of Tenders</w:t>
      </w:r>
      <w:r>
        <w:rPr>
          <w:rFonts w:ascii="Times New Roman" w:cs="Times New Roman" w:eastAsia="Times New Roman" w:hAnsi="Times New Roman"/>
          <w:sz w:val="14"/>
          <w:szCs w:val="14"/>
          <w:color w:val="auto"/>
        </w:rPr>
        <w:t>.”</w:t>
      </w:r>
    </w:p>
    <w:p>
      <w:pPr>
        <w:spacing w:after="0" w:line="13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4"/>
          <w:szCs w:val="14"/>
          <w:color w:val="auto"/>
        </w:rPr>
        <w:t>The undersigned acknowledges that the acceptance by the Issuer of properly tendered Old Notes pursuant to the procedures described in the Prospectus under the section entitled “</w:t>
      </w:r>
      <w:r>
        <w:rPr>
          <w:rFonts w:ascii="Times New Roman" w:cs="Times New Roman" w:eastAsia="Times New Roman" w:hAnsi="Times New Roman"/>
          <w:sz w:val="14"/>
          <w:szCs w:val="14"/>
          <w:i w:val="1"/>
          <w:iCs w:val="1"/>
          <w:color w:val="auto"/>
        </w:rPr>
        <w:t>The Exchange Offer —</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Procedures for Tendering Old Notes</w:t>
      </w:r>
      <w:r>
        <w:rPr>
          <w:rFonts w:ascii="Times New Roman" w:cs="Times New Roman" w:eastAsia="Times New Roman" w:hAnsi="Times New Roman"/>
          <w:sz w:val="14"/>
          <w:szCs w:val="14"/>
          <w:color w:val="auto"/>
        </w:rPr>
        <w:t>” and in the instructions hereto will constitute a binding agreement between the undersigned, on the one hand, and the Issuer, on the other hand, upon the terms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subject to the conditions of the Exchange Offer.</w:t>
      </w:r>
    </w:p>
    <w:p>
      <w:pPr>
        <w:spacing w:after="0" w:line="134" w:lineRule="exact"/>
        <w:rPr>
          <w:sz w:val="20"/>
          <w:szCs w:val="20"/>
          <w:color w:val="auto"/>
        </w:rPr>
      </w:pPr>
    </w:p>
    <w:p>
      <w:pPr>
        <w:ind w:right="540"/>
        <w:spacing w:after="0" w:line="277" w:lineRule="auto"/>
        <w:rPr>
          <w:sz w:val="20"/>
          <w:szCs w:val="20"/>
          <w:color w:val="auto"/>
        </w:rPr>
      </w:pPr>
      <w:r>
        <w:rPr>
          <w:rFonts w:ascii="Times New Roman" w:cs="Times New Roman" w:eastAsia="Times New Roman" w:hAnsi="Times New Roman"/>
          <w:sz w:val="14"/>
          <w:szCs w:val="14"/>
          <w:color w:val="auto"/>
        </w:rPr>
        <w:t>The Exchange Offer is subject to certain conditions set forth in the Prospectus under the section entitled “</w:t>
      </w:r>
      <w:r>
        <w:rPr>
          <w:rFonts w:ascii="Times New Roman" w:cs="Times New Roman" w:eastAsia="Times New Roman" w:hAnsi="Times New Roman"/>
          <w:sz w:val="14"/>
          <w:szCs w:val="14"/>
          <w:i w:val="1"/>
          <w:iCs w:val="1"/>
          <w:color w:val="auto"/>
        </w:rPr>
        <w:t>The Exchange Offer — Conditions</w:t>
      </w:r>
      <w:r>
        <w:rPr>
          <w:rFonts w:ascii="Times New Roman" w:cs="Times New Roman" w:eastAsia="Times New Roman" w:hAnsi="Times New Roman"/>
          <w:sz w:val="14"/>
          <w:szCs w:val="14"/>
          <w:color w:val="auto"/>
        </w:rPr>
        <w:t>.” The undersigned recognizes that, as a result of these conditions (which may be waived, in whole or in part, by the Issuer), the Issuer may not be required to exchange any of the Old Notes tendered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193675</wp:posOffset>
            </wp:positionV>
            <wp:extent cx="7164705" cy="63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8">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40"/>
          </w:cols>
          <w:pgMar w:left="300" w:top="724" w:right="35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4"/>
          <w:szCs w:val="14"/>
          <w:b w:val="1"/>
          <w:bCs w:val="1"/>
          <w:color w:val="auto"/>
        </w:rPr>
        <w:t>INSTRUCTIONS TO LETTER OF TRANSMITTAL</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FORMING PART OF THE TERMS AND CONDITIONS OF THE EXCHANGE OFFER</w:t>
      </w:r>
    </w:p>
    <w:p>
      <w:pPr>
        <w:spacing w:after="0" w:line="151" w:lineRule="exact"/>
        <w:rPr>
          <w:sz w:val="20"/>
          <w:szCs w:val="20"/>
          <w:color w:val="auto"/>
        </w:rPr>
      </w:pPr>
    </w:p>
    <w:p>
      <w:pPr>
        <w:ind w:right="20" w:firstLine="2"/>
        <w:spacing w:after="0" w:line="261" w:lineRule="auto"/>
        <w:tabs>
          <w:tab w:leader="none" w:pos="137"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Book-Entry Confirmations. </w:t>
      </w:r>
      <w:r>
        <w:rPr>
          <w:rFonts w:ascii="Times New Roman" w:cs="Times New Roman" w:eastAsia="Times New Roman" w:hAnsi="Times New Roman"/>
          <w:sz w:val="14"/>
          <w:szCs w:val="14"/>
          <w:color w:val="auto"/>
        </w:rPr>
        <w:t>For a holder to properly tender Old Notes in book-entry form pursuant to the Exchange Offer, a properly transmitted agent’s message must be received by the Exchange Agent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at its address set forth herein on or prior to the Expiration Date. Such Old Notes must be transferred pursuant to the procedures for book-entry transfer described in the Prospectus under the section entitled “</w:t>
      </w:r>
      <w:r>
        <w:rPr>
          <w:rFonts w:ascii="Times New Roman" w:cs="Times New Roman" w:eastAsia="Times New Roman" w:hAnsi="Times New Roman"/>
          <w:sz w:val="14"/>
          <w:szCs w:val="14"/>
          <w:i w:val="1"/>
          <w:iCs w:val="1"/>
          <w:color w:val="auto"/>
        </w:rPr>
        <w:t>The Exchange Offer — Procedures for Tendering Old Notes</w:t>
      </w:r>
      <w:r>
        <w:rPr>
          <w:rFonts w:ascii="Times New Roman" w:cs="Times New Roman" w:eastAsia="Times New Roman" w:hAnsi="Times New Roman"/>
          <w:sz w:val="14"/>
          <w:szCs w:val="14"/>
          <w:color w:val="auto"/>
        </w:rPr>
        <w:t>” and a book-entry confirmation must be received by the Exchange Agent on or prior to the Expiration Date.</w:t>
      </w:r>
    </w:p>
    <w:p>
      <w:pPr>
        <w:spacing w:after="0" w:line="134"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4"/>
          <w:szCs w:val="14"/>
          <w:b w:val="1"/>
          <w:bCs w:val="1"/>
          <w:color w:val="auto"/>
        </w:rPr>
        <w:t>The method of delivery of all required documents to the Exchange Agent is at the election and risk of the tendering holder and the delivery will be deemed made only when actually received or confirmed by the Exchange Agent. If delivery is by mail, then registered mail with return receipt requested and proper insurance is advised. However, it is recommended that, instead of delivery by mail, the tendering holder use an overnight or courier service. In all cases, sufficient time should be allowed to assure delivery to the Exchange Agent before 11:59 p.m., New York City time, on the Expiration Date. NO REQUIRED DOCUMENT SHOULD BE SENT TO THE ISSUER. Neither the Issuer nor the Exchange Agent is under any obligation to notify any tendering holder of the Issuer’s acceptance of any tendered Old Notes prior to the Expiration Date.</w:t>
      </w:r>
    </w:p>
    <w:p>
      <w:pPr>
        <w:spacing w:after="0" w:line="141" w:lineRule="exact"/>
        <w:rPr>
          <w:sz w:val="20"/>
          <w:szCs w:val="20"/>
          <w:color w:val="auto"/>
        </w:rPr>
      </w:pPr>
    </w:p>
    <w:p>
      <w:pPr>
        <w:ind w:right="80" w:firstLine="2"/>
        <w:spacing w:after="0" w:line="253" w:lineRule="auto"/>
        <w:tabs>
          <w:tab w:leader="none" w:pos="137"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Withdrawal. </w:t>
      </w:r>
      <w:r>
        <w:rPr>
          <w:rFonts w:ascii="Times New Roman" w:cs="Times New Roman" w:eastAsia="Times New Roman" w:hAnsi="Times New Roman"/>
          <w:sz w:val="14"/>
          <w:szCs w:val="14"/>
          <w:color w:val="auto"/>
        </w:rPr>
        <w:t>Tenders of Old Notes may be withdrawn at any time prior to 5:00 p.m., New York City time, on the Expiration Date. For a withdrawal of tendered Old Notes to be effective, the Exchange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Agent must receive, on or prior to the Expiration Date, a computer-generated notice of withdrawal transmitted on behalf of DTC on behalf of the holder in accordance with DTC’s procedures. Any such notice of withdrawal must (1) specify the name of the tendering holder of Old Notes to be withdrawn, (2) specify the principal amount of the Old Notes delivered for exchange, (3) include a statement that such holder is withdrawing its election to have such Old Notes exchanged, (4) specify the name and number of the account at DTC to be credited with the withdrawn Old Notes, and (5) otherwise comply with the procedures of DTC.</w:t>
      </w:r>
    </w:p>
    <w:p>
      <w:pPr>
        <w:spacing w:after="0" w:line="14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4"/>
          <w:szCs w:val="14"/>
          <w:color w:val="auto"/>
        </w:rPr>
        <w:t>Any permitted withdrawal of Old Notes may not be rescinded. Any Old Notes properly withdrawn will thereafter be deemed not validly tendered for purposes of the Exchange Offer. However, properly withdrawn Old Notes may be re-tendered by following the procedures described in the Prospectus under the section entitled “</w:t>
      </w:r>
      <w:r>
        <w:rPr>
          <w:rFonts w:ascii="Times New Roman" w:cs="Times New Roman" w:eastAsia="Times New Roman" w:hAnsi="Times New Roman"/>
          <w:sz w:val="14"/>
          <w:szCs w:val="14"/>
          <w:i w:val="1"/>
          <w:iCs w:val="1"/>
          <w:color w:val="auto"/>
        </w:rPr>
        <w:t>The Exchange Offer — Procedures for Tendering Old Notes</w:t>
      </w:r>
      <w:r>
        <w:rPr>
          <w:rFonts w:ascii="Times New Roman" w:cs="Times New Roman" w:eastAsia="Times New Roman" w:hAnsi="Times New Roman"/>
          <w:sz w:val="14"/>
          <w:szCs w:val="14"/>
          <w:color w:val="auto"/>
        </w:rPr>
        <w:t>” at any time prior to the Expiration Date.</w:t>
      </w:r>
    </w:p>
    <w:p>
      <w:pPr>
        <w:spacing w:after="0" w:line="14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4"/>
          <w:szCs w:val="14"/>
          <w:color w:val="auto"/>
        </w:rPr>
        <w:t>All questions as to the validity, form and eligibility (including time of receipt) of such withdrawal notices will be determined by the Issuer, in its sole discretion, which determination shall be final and binding on all parties. Neither the Issuer, any affiliates of the Issuer, the Exchange Agent nor any other person shall be under any duty to give any notification of any defects or irregularities in any notice of withdrawal or incur any liability for failure to give any such notification.</w:t>
      </w:r>
    </w:p>
    <w:p>
      <w:pPr>
        <w:spacing w:after="0" w:line="136" w:lineRule="exact"/>
        <w:rPr>
          <w:sz w:val="20"/>
          <w:szCs w:val="20"/>
          <w:color w:val="auto"/>
        </w:rPr>
      </w:pPr>
    </w:p>
    <w:p>
      <w:pPr>
        <w:ind w:firstLine="2"/>
        <w:spacing w:after="0" w:line="256" w:lineRule="auto"/>
        <w:tabs>
          <w:tab w:leader="none" w:pos="137"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Partial Tenders. </w:t>
      </w:r>
      <w:r>
        <w:rPr>
          <w:rFonts w:ascii="Times New Roman" w:cs="Times New Roman" w:eastAsia="Times New Roman" w:hAnsi="Times New Roman"/>
          <w:sz w:val="14"/>
          <w:szCs w:val="14"/>
          <w:color w:val="auto"/>
        </w:rPr>
        <w:t>Tenders of Old Notes will be accepted only in principal amounts equal to at least $100,000 and in integral multiples of $1,000 in excess thereof. The entire principal amount of Old Notes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delivered to the Exchange Agent will be deemed to have been tendered unless otherwise communicated to the Exchange Agent. If the entire principal amount of all Old Notes held by a holder is not tendered, then Old Notes for the principal amount of Old Notes not tendered and New Notes issued in exchange for any Old Notes accepted will be returned by credit to the holder’s account at DTC, as soon as practicable following the Expiration Date.</w:t>
      </w:r>
    </w:p>
    <w:p>
      <w:pPr>
        <w:spacing w:after="0" w:line="137" w:lineRule="exact"/>
        <w:rPr>
          <w:rFonts w:ascii="Times New Roman" w:cs="Times New Roman" w:eastAsia="Times New Roman" w:hAnsi="Times New Roman"/>
          <w:sz w:val="14"/>
          <w:szCs w:val="14"/>
          <w:color w:val="auto"/>
        </w:rPr>
      </w:pPr>
    </w:p>
    <w:p>
      <w:pPr>
        <w:ind w:right="80" w:firstLine="2"/>
        <w:spacing w:after="0" w:line="256" w:lineRule="auto"/>
        <w:tabs>
          <w:tab w:leader="none" w:pos="137"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Important Tax Information. </w:t>
      </w:r>
      <w:r>
        <w:rPr>
          <w:rFonts w:ascii="Times New Roman" w:cs="Times New Roman" w:eastAsia="Times New Roman" w:hAnsi="Times New Roman"/>
          <w:sz w:val="14"/>
          <w:szCs w:val="14"/>
          <w:color w:val="auto"/>
        </w:rPr>
        <w:t>Each tendering holder should provide the Exchange Agent with its correct taxpayer identification number, which, in the case of a holder who is an individual, is his or her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social security number. If the Exchange Agent is not provided with the correct taxpayer identification number or an adequate basis for an exemption, the holder may be subject to backup withholding in an amount currently equal to up to 24% of any reportable payments made with respect to the Old Notes and a $50 penalty imposed by the Internal Revenue Service (the “IRS”). If withholding results in an over-payment of taxes, a refund may be obtained.</w:t>
      </w:r>
    </w:p>
    <w:p>
      <w:pPr>
        <w:spacing w:after="0" w:line="14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4"/>
          <w:szCs w:val="14"/>
          <w:color w:val="auto"/>
        </w:rPr>
        <w:t>To prevent backup withholding on any reportable payments, each holder tendering Old Notes may be requested to provide such holder’s correct taxpayer identification number by completing an IRS Form W-9, certifying (under penalties of perjury) that such holder is a U.S. person (including a resident alien), that the taxpayer identification number provided is correct (or that such holder is awaiting a taxpayer identification number), and that (1) such holder is exempt from backup withholding, (2) the holder has not been notified by the IRS that such holder is subject to backup withholding as a result of failure to report all interest or dividends or (3) the IRS has notified the holder that such holder is no longer subject to backup withholding.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64705" cy="63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9">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720" w:right="319" w:bottom="1440" w:gutter="0" w:footer="0" w:header="0"/>
        </w:sectPr>
      </w:pPr>
    </w:p>
    <w:bookmarkStart w:id="73" w:name="page74"/>
    <w:bookmarkEnd w:id="73"/>
    <w:p>
      <w:pPr>
        <w:jc w:val="both"/>
        <w:ind w:right="80"/>
        <w:spacing w:after="0" w:line="254" w:lineRule="auto"/>
        <w:rPr>
          <w:sz w:val="20"/>
          <w:szCs w:val="20"/>
          <w:color w:val="auto"/>
        </w:rPr>
      </w:pPr>
      <w:r>
        <w:rPr>
          <w:rFonts w:ascii="Times New Roman" w:cs="Times New Roman" w:eastAsia="Times New Roman" w:hAnsi="Times New Roman"/>
          <w:sz w:val="14"/>
          <w:szCs w:val="14"/>
          <w:color w:val="auto"/>
        </w:rPr>
        <w:t>Certain holders (including, among others, certain non-United States individuals) tendering Old Notes are exempt from these backup withholding and reporting requirements. If requested to provide an IRS Form W-9, to prevent possible erroneous backup withholding, an exempt holder that is a U.S. person (as defined in the instructions to the IRS Form W-9) should provide its correct taxpayer identification number and check the “Exempt payee” box on the IRS Form W-9. In order for a non-U.S. person to qualify as exempt, such person may be requested to submit an appropriate IRS Form W-8 (for example, an IRS Form W-8BEN). An IRS Form W-9 or IRS Form W-8 may be obtained from the IRS website at www.irs.gov or from the Exchange Agent.</w:t>
      </w:r>
    </w:p>
    <w:p>
      <w:pPr>
        <w:spacing w:after="0" w:line="143"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4"/>
          <w:szCs w:val="14"/>
          <w:color w:val="auto"/>
        </w:rPr>
        <w:t>The Issuer reserves the right in its sole discretion to take whatever steps are necessary to comply with its obligation regarding backup withholding. Holders are urged to consult with their own tax advisors to determine if they are exempt from backup withholding.</w:t>
      </w:r>
    </w:p>
    <w:p>
      <w:pPr>
        <w:spacing w:after="0" w:line="127" w:lineRule="exact"/>
        <w:rPr>
          <w:sz w:val="20"/>
          <w:szCs w:val="20"/>
          <w:color w:val="auto"/>
        </w:rPr>
      </w:pPr>
    </w:p>
    <w:p>
      <w:pPr>
        <w:ind w:right="40" w:firstLine="2"/>
        <w:spacing w:after="0" w:line="251" w:lineRule="auto"/>
        <w:tabs>
          <w:tab w:leader="none" w:pos="137"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Transfer Taxes. </w:t>
      </w:r>
      <w:r>
        <w:rPr>
          <w:rFonts w:ascii="Times New Roman" w:cs="Times New Roman" w:eastAsia="Times New Roman" w:hAnsi="Times New Roman"/>
          <w:sz w:val="14"/>
          <w:szCs w:val="14"/>
          <w:color w:val="auto"/>
        </w:rPr>
        <w:t>The Issuer will pay or cause to be paid all transfer taxes, if any, applicable to the exchange of Old Notes pursuant to the Exchange Offer. If, however, New Notes or Old Notes for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principal amounts not tendered or accepted for exchange are to be delivered to, or are to be registered or issued in the name of, any person other than the registered holder of the Old Notes tendered hereby, or if tendered Old Notes are registered in the name of any person other than the person signing this Letter of Transmittal, or if a transfer tax is imposed for any reason other than the exchange of Old Notes pursuant to the Exchange Offer, then the amount of any such transfer taxes (whether imposed on the registered holder or any other person) will be payable by the tendering holder. If satisfactory evidence of payment of such taxes or exemption therefrom is not submitted with this Letter of Transmittal, the amount of such transfer taxes will be billed directly to such tendering holder and the Exchange Agent will retain possession of an amount of New Notes with a face amount at least equal to the amount of such transfer taxes due by such tendering holder pending receipt by the Exchange Agent of the amount of such taxes.</w:t>
      </w:r>
    </w:p>
    <w:p>
      <w:pPr>
        <w:spacing w:after="0" w:line="140" w:lineRule="exact"/>
        <w:rPr>
          <w:rFonts w:ascii="Times New Roman" w:cs="Times New Roman" w:eastAsia="Times New Roman" w:hAnsi="Times New Roman"/>
          <w:sz w:val="14"/>
          <w:szCs w:val="14"/>
          <w:color w:val="auto"/>
        </w:rPr>
      </w:pPr>
    </w:p>
    <w:p>
      <w:pPr>
        <w:ind w:firstLine="2"/>
        <w:spacing w:after="0" w:line="249" w:lineRule="auto"/>
        <w:tabs>
          <w:tab w:leader="none" w:pos="137"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Validity of Tenders. </w:t>
      </w:r>
      <w:r>
        <w:rPr>
          <w:rFonts w:ascii="Times New Roman" w:cs="Times New Roman" w:eastAsia="Times New Roman" w:hAnsi="Times New Roman"/>
          <w:sz w:val="14"/>
          <w:szCs w:val="14"/>
          <w:color w:val="auto"/>
        </w:rPr>
        <w:t>All questions as to the validity, form, eligibility (including time of receipt), acceptance and withdrawal of tendered Old Notes will be determined by the Issuer in its sole discretion,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which determination will be conclusive, final and binding. The Issuer reserves the absolute right to reject any and all Old Notes not properly tendered or any Old Notes the Issuer’s acceptance of which would, in the opinion of the Issuer’s counsel, be unlawful. The Issuer also reserves the right to waive any conditions of the Exchange Offer or defects or irregularities of tenders as to particular Old Notes. The Issuer’s interpretation of the terms and conditions of the Exchange Offer (including the instructions in this Letter of Transmittal) shall be conclusive, final and binding on all parties. Unless waived, any defects or irregularities in connection with tenders of Old Notes must be cured within such time as the Issuer shall determine. Each tendering holder, by delivery of an agent’s message, waives any right to receive any notice of the acceptance of such tender. Tenders of such Old Notes shall not be deemed to have been made until such irregularities have been cured or waived. Any Old Notes received by the Exchange Agent that are not properly tendered and as to which the irregularities have not been cured or waived will be returned by the Exchange Agent, without expense, to the tendering holders, promptly following the Expiration Date. Neither the Issuer, the Exchange Agent nor any other person shall be under any duty to give notification of defects or irregularities with respect to tenders of Old Notes nor shall any of them incur any liability for failure to give such notification.</w:t>
      </w:r>
    </w:p>
    <w:p>
      <w:pPr>
        <w:spacing w:after="0" w:line="145" w:lineRule="exact"/>
        <w:rPr>
          <w:rFonts w:ascii="Times New Roman" w:cs="Times New Roman" w:eastAsia="Times New Roman" w:hAnsi="Times New Roman"/>
          <w:sz w:val="14"/>
          <w:szCs w:val="14"/>
          <w:color w:val="auto"/>
        </w:rPr>
      </w:pPr>
    </w:p>
    <w:p>
      <w:pPr>
        <w:ind w:left="140" w:hanging="138"/>
        <w:spacing w:after="0"/>
        <w:tabs>
          <w:tab w:leader="none" w:pos="14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No Conditional Tender. </w:t>
      </w:r>
      <w:r>
        <w:rPr>
          <w:rFonts w:ascii="Times New Roman" w:cs="Times New Roman" w:eastAsia="Times New Roman" w:hAnsi="Times New Roman"/>
          <w:sz w:val="14"/>
          <w:szCs w:val="14"/>
          <w:color w:val="auto"/>
        </w:rPr>
        <w:t>No alternative, conditional, irregular or contingent tender of Old Notes will be accepted.</w:t>
      </w:r>
    </w:p>
    <w:p>
      <w:pPr>
        <w:spacing w:after="0" w:line="168" w:lineRule="exact"/>
        <w:rPr>
          <w:rFonts w:ascii="Times New Roman" w:cs="Times New Roman" w:eastAsia="Times New Roman" w:hAnsi="Times New Roman"/>
          <w:sz w:val="14"/>
          <w:szCs w:val="14"/>
          <w:color w:val="auto"/>
        </w:rPr>
      </w:pPr>
    </w:p>
    <w:p>
      <w:pPr>
        <w:ind w:right="60" w:firstLine="2"/>
        <w:spacing w:after="0" w:line="261" w:lineRule="auto"/>
        <w:tabs>
          <w:tab w:leader="none" w:pos="137"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Requests for Assistance or Additional Copies. </w:t>
      </w:r>
      <w:r>
        <w:rPr>
          <w:rFonts w:ascii="Times New Roman" w:cs="Times New Roman" w:eastAsia="Times New Roman" w:hAnsi="Times New Roman"/>
          <w:sz w:val="14"/>
          <w:szCs w:val="14"/>
          <w:color w:val="auto"/>
        </w:rPr>
        <w:t>Questions and requests for assistance or for additional copies of the Prospectus or this Letter of Transmittal may be directed to the Exchange Agent at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address, telephone number or facsimile number set forth on the cover page of this Letter of Transmittal. Holders may also contact their broker, dealer, commercial bank, trust company or other nominee for assistance concerning the Exchange Offer.</w:t>
      </w:r>
    </w:p>
    <w:p>
      <w:pPr>
        <w:spacing w:after="0" w:line="134" w:lineRule="exact"/>
        <w:rPr>
          <w:sz w:val="20"/>
          <w:szCs w:val="20"/>
          <w:color w:val="auto"/>
        </w:rPr>
      </w:pPr>
    </w:p>
    <w:p>
      <w:pPr>
        <w:ind w:right="560"/>
        <w:spacing w:after="0" w:line="261" w:lineRule="auto"/>
        <w:rPr>
          <w:sz w:val="20"/>
          <w:szCs w:val="20"/>
          <w:color w:val="auto"/>
        </w:rPr>
      </w:pPr>
      <w:r>
        <w:rPr>
          <w:rFonts w:ascii="Times New Roman" w:cs="Times New Roman" w:eastAsia="Times New Roman" w:hAnsi="Times New Roman"/>
          <w:sz w:val="14"/>
          <w:szCs w:val="14"/>
          <w:b w:val="1"/>
          <w:bCs w:val="1"/>
          <w:color w:val="auto"/>
        </w:rPr>
        <w:t>IMPORTANT: BY USING THE ATOP PROCEDURES TO TENDER OLD NOTES, YOU WILL NOT BE REQUIRED TO DELIVER THIS LETTER OF TRANSMITTAL TO THE EXCHANGE AGENT. HOWEVER, YOU WILL BE BOUND BY THE TERMS, AND YOU WILL BE DEEMED TO HAVE MADE THE ACKNOWLEDGEMENTS AND THE REPRESENTATIONS AND WARRANTIES IT CONTAINS, JUST AS IF YOU HAD SIGNED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200660</wp:posOffset>
            </wp:positionV>
            <wp:extent cx="7164705" cy="63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0">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724" w:right="319" w:bottom="1440" w:gutter="0" w:footer="0" w:header="0"/>
        </w:sectPr>
      </w:pPr>
    </w:p>
    <w:bookmarkStart w:id="74" w:name="page75"/>
    <w:bookmarkEnd w:id="74"/>
    <w:p>
      <w:pPr>
        <w:ind w:left="3540"/>
        <w:spacing w:after="0"/>
        <w:rPr>
          <w:sz w:val="20"/>
          <w:szCs w:val="20"/>
          <w:color w:val="auto"/>
        </w:rPr>
      </w:pPr>
      <w:r>
        <w:rPr>
          <w:rFonts w:ascii="Arial" w:cs="Arial" w:eastAsia="Arial" w:hAnsi="Arial"/>
          <w:sz w:val="27"/>
          <w:szCs w:val="27"/>
          <w:b w:val="1"/>
          <w:bCs w:val="1"/>
          <w:color w:val="auto"/>
        </w:rPr>
        <w:t>Calculation of Filing Fee Tables</w:t>
      </w:r>
    </w:p>
    <w:p>
      <w:pPr>
        <w:spacing w:after="0" w:line="174" w:lineRule="exact"/>
        <w:rPr>
          <w:sz w:val="20"/>
          <w:szCs w:val="20"/>
          <w:color w:val="auto"/>
        </w:rPr>
      </w:pPr>
    </w:p>
    <w:p>
      <w:pPr>
        <w:ind w:left="5360"/>
        <w:spacing w:after="0"/>
        <w:rPr>
          <w:sz w:val="20"/>
          <w:szCs w:val="20"/>
          <w:color w:val="auto"/>
        </w:rPr>
      </w:pPr>
      <w:r>
        <w:rPr>
          <w:rFonts w:ascii="Arial" w:cs="Arial" w:eastAsia="Arial" w:hAnsi="Arial"/>
          <w:sz w:val="27"/>
          <w:szCs w:val="27"/>
          <w:b w:val="1"/>
          <w:bCs w:val="1"/>
          <w:color w:val="auto"/>
        </w:rPr>
        <w:t>S-4</w:t>
      </w:r>
    </w:p>
    <w:p>
      <w:pPr>
        <w:spacing w:after="0" w:line="102" w:lineRule="exact"/>
        <w:rPr>
          <w:sz w:val="20"/>
          <w:szCs w:val="20"/>
          <w:color w:val="auto"/>
        </w:rPr>
      </w:pPr>
    </w:p>
    <w:p>
      <w:pPr>
        <w:jc w:val="center"/>
        <w:ind w:right="200"/>
        <w:spacing w:after="0"/>
        <w:rPr>
          <w:sz w:val="20"/>
          <w:szCs w:val="20"/>
          <w:color w:val="auto"/>
        </w:rPr>
      </w:pPr>
      <w:r>
        <w:rPr>
          <w:rFonts w:ascii="Arial" w:cs="Arial" w:eastAsia="Arial" w:hAnsi="Arial"/>
          <w:sz w:val="27"/>
          <w:szCs w:val="27"/>
          <w:b w:val="1"/>
          <w:bCs w:val="1"/>
          <w:color w:val="auto"/>
        </w:rPr>
        <w:t>Hanover Bancorp, Inc. /MD</w:t>
      </w:r>
    </w:p>
    <w:p>
      <w:pPr>
        <w:spacing w:after="0" w:line="103"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40" w:type="dxa"/>
            <w:vAlign w:val="bottom"/>
            <w:tcBorders>
              <w:bottom w:val="single" w:sz="8" w:color="auto"/>
            </w:tcBorders>
          </w:tcPr>
          <w:p>
            <w:pPr>
              <w:spacing w:after="0"/>
              <w:rPr>
                <w:sz w:val="23"/>
                <w:szCs w:val="23"/>
                <w:color w:val="auto"/>
              </w:rPr>
            </w:pPr>
          </w:p>
        </w:tc>
        <w:tc>
          <w:tcPr>
            <w:tcW w:w="4480" w:type="dxa"/>
            <w:vAlign w:val="bottom"/>
            <w:tcBorders>
              <w:bottom w:val="single" w:sz="8" w:color="auto"/>
            </w:tcBorders>
            <w:gridSpan w:val="11"/>
          </w:tcPr>
          <w:p>
            <w:pPr>
              <w:spacing w:after="0"/>
              <w:rPr>
                <w:sz w:val="20"/>
                <w:szCs w:val="20"/>
                <w:color w:val="auto"/>
              </w:rPr>
            </w:pPr>
            <w:r>
              <w:rPr>
                <w:rFonts w:ascii="Arial" w:cs="Arial" w:eastAsia="Arial" w:hAnsi="Arial"/>
                <w:sz w:val="16"/>
                <w:szCs w:val="16"/>
                <w:b w:val="1"/>
                <w:bCs w:val="1"/>
                <w:color w:val="auto"/>
              </w:rPr>
              <w:t>Table 1: Newly Registered and Carry Forward Securities</w:t>
            </w:r>
          </w:p>
        </w:tc>
        <w:tc>
          <w:tcPr>
            <w:tcW w:w="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gridSpan w:val="3"/>
          </w:tcPr>
          <w:p>
            <w:pPr>
              <w:ind w:left="280"/>
              <w:spacing w:after="0" w:line="184" w:lineRule="exact"/>
              <w:rPr>
                <w:sz w:val="20"/>
                <w:szCs w:val="20"/>
                <w:color w:val="auto"/>
              </w:rPr>
            </w:pPr>
            <w:r>
              <w:rPr>
                <w:rFonts w:ascii="MS PGothic" w:cs="MS PGothic" w:eastAsia="MS PGothic" w:hAnsi="MS PGothic"/>
                <w:sz w:val="16"/>
                <w:szCs w:val="16"/>
                <w:color w:val="auto"/>
                <w:highlight w:val="black"/>
              </w:rPr>
              <w:t>☐</w:t>
            </w:r>
            <w:r>
              <w:rPr>
                <w:rFonts w:ascii="Arial" w:cs="Arial" w:eastAsia="Arial" w:hAnsi="Arial"/>
                <w:sz w:val="16"/>
                <w:szCs w:val="16"/>
                <w:b w:val="1"/>
                <w:bCs w:val="1"/>
                <w:color w:val="auto"/>
              </w:rPr>
              <w:t>Not Applicable</w:t>
            </w: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rPr>
              <w:t>Filing Fee</w:t>
            </w: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rPr>
              <w:t>Previously</w:t>
            </w: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Fee</w:t>
            </w: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Proposed</w:t>
            </w:r>
          </w:p>
        </w:tc>
        <w:tc>
          <w:tcPr>
            <w:tcW w:w="20" w:type="dxa"/>
            <w:vAlign w:val="bottom"/>
          </w:tcPr>
          <w:p>
            <w:pPr>
              <w:spacing w:after="0"/>
              <w:rPr>
                <w:sz w:val="16"/>
                <w:szCs w:val="16"/>
                <w:color w:val="auto"/>
              </w:rPr>
            </w:pPr>
          </w:p>
        </w:tc>
        <w:tc>
          <w:tcPr>
            <w:tcW w:w="10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Carry</w:t>
            </w: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rPr>
              <w:t>Paid in</w:t>
            </w:r>
          </w:p>
        </w:tc>
        <w:tc>
          <w:tcPr>
            <w:tcW w:w="0" w:type="dxa"/>
            <w:vAlign w:val="bottom"/>
          </w:tcPr>
          <w:p>
            <w:pPr>
              <w:spacing w:after="0"/>
              <w:rPr>
                <w:sz w:val="1"/>
                <w:szCs w:val="1"/>
                <w:color w:val="auto"/>
              </w:rPr>
            </w:pPr>
          </w:p>
        </w:tc>
      </w:tr>
      <w:tr>
        <w:trPr>
          <w:trHeight w:val="165"/>
        </w:trPr>
        <w:tc>
          <w:tcPr>
            <w:tcW w:w="40" w:type="dxa"/>
            <w:vAlign w:val="bottom"/>
            <w:tcBorders>
              <w:left w:val="single" w:sz="8" w:color="auto"/>
            </w:tcBorders>
          </w:tcPr>
          <w:p>
            <w:pPr>
              <w:spacing w:after="0"/>
              <w:rPr>
                <w:sz w:val="14"/>
                <w:szCs w:val="14"/>
                <w:color w:val="auto"/>
              </w:rPr>
            </w:pPr>
          </w:p>
        </w:tc>
        <w:tc>
          <w:tcPr>
            <w:tcW w:w="7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shd w:val="clear" w:color="auto" w:fill="9ADAF6"/>
          </w:tcPr>
          <w:p>
            <w:pPr>
              <w:jc w:val="center"/>
              <w:spacing w:after="0" w:line="165" w:lineRule="exact"/>
              <w:rPr>
                <w:sz w:val="20"/>
                <w:szCs w:val="20"/>
                <w:color w:val="auto"/>
              </w:rPr>
            </w:pPr>
            <w:r>
              <w:rPr>
                <w:rFonts w:ascii="Arial" w:cs="Arial" w:eastAsia="Arial" w:hAnsi="Arial"/>
                <w:sz w:val="16"/>
                <w:szCs w:val="16"/>
                <w:b w:val="1"/>
                <w:bCs w:val="1"/>
                <w:color w:val="auto"/>
              </w:rPr>
              <w:t>Maximum</w:t>
            </w:r>
          </w:p>
        </w:tc>
        <w:tc>
          <w:tcPr>
            <w:tcW w:w="20" w:type="dxa"/>
            <w:vAlign w:val="bottom"/>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jc w:val="center"/>
              <w:spacing w:after="0" w:line="165" w:lineRule="exact"/>
              <w:rPr>
                <w:sz w:val="20"/>
                <w:szCs w:val="20"/>
                <w:color w:val="auto"/>
              </w:rPr>
            </w:pPr>
            <w:r>
              <w:rPr>
                <w:rFonts w:ascii="Arial" w:cs="Arial" w:eastAsia="Arial" w:hAnsi="Arial"/>
                <w:sz w:val="16"/>
                <w:szCs w:val="16"/>
                <w:b w:val="1"/>
                <w:bCs w:val="1"/>
                <w:color w:val="auto"/>
              </w:rPr>
              <w:t>Carry</w:t>
            </w:r>
          </w:p>
        </w:tc>
        <w:tc>
          <w:tcPr>
            <w:tcW w:w="20" w:type="dxa"/>
            <w:vAlign w:val="bottom"/>
          </w:tcPr>
          <w:p>
            <w:pPr>
              <w:spacing w:after="0"/>
              <w:rPr>
                <w:sz w:val="14"/>
                <w:szCs w:val="14"/>
                <w:color w:val="auto"/>
              </w:rPr>
            </w:pPr>
          </w:p>
        </w:tc>
        <w:tc>
          <w:tcPr>
            <w:tcW w:w="680" w:type="dxa"/>
            <w:vAlign w:val="bottom"/>
            <w:shd w:val="clear" w:color="auto" w:fill="9ADAF6"/>
          </w:tcPr>
          <w:p>
            <w:pPr>
              <w:jc w:val="center"/>
              <w:spacing w:after="0" w:line="165" w:lineRule="exact"/>
              <w:rPr>
                <w:sz w:val="20"/>
                <w:szCs w:val="20"/>
                <w:color w:val="auto"/>
              </w:rPr>
            </w:pPr>
            <w:r>
              <w:rPr>
                <w:rFonts w:ascii="Arial" w:cs="Arial" w:eastAsia="Arial" w:hAnsi="Arial"/>
                <w:sz w:val="16"/>
                <w:szCs w:val="16"/>
                <w:b w:val="1"/>
                <w:bCs w:val="1"/>
                <w:color w:val="auto"/>
              </w:rPr>
              <w:t>Carry</w:t>
            </w:r>
          </w:p>
        </w:tc>
        <w:tc>
          <w:tcPr>
            <w:tcW w:w="20" w:type="dxa"/>
            <w:vAlign w:val="bottom"/>
          </w:tcPr>
          <w:p>
            <w:pPr>
              <w:spacing w:after="0"/>
              <w:rPr>
                <w:sz w:val="14"/>
                <w:szCs w:val="14"/>
                <w:color w:val="auto"/>
              </w:rPr>
            </w:pPr>
          </w:p>
        </w:tc>
        <w:tc>
          <w:tcPr>
            <w:tcW w:w="7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Borders>
              <w:right w:val="single" w:sz="8" w:color="auto"/>
            </w:tcBorders>
            <w:shd w:val="clear" w:color="auto" w:fill="9ADAF6"/>
          </w:tcPr>
          <w:p>
            <w:pPr>
              <w:jc w:val="center"/>
              <w:spacing w:after="0" w:line="165" w:lineRule="exact"/>
              <w:rPr>
                <w:sz w:val="20"/>
                <w:szCs w:val="20"/>
                <w:color w:val="auto"/>
              </w:rPr>
            </w:pPr>
            <w:r>
              <w:rPr>
                <w:rFonts w:ascii="Arial" w:cs="Arial" w:eastAsia="Arial" w:hAnsi="Arial"/>
                <w:sz w:val="16"/>
                <w:szCs w:val="16"/>
                <w:b w:val="1"/>
                <w:bCs w:val="1"/>
                <w:color w:val="auto"/>
              </w:rPr>
              <w:t>Connection</w:t>
            </w: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20"/>
                <w:szCs w:val="20"/>
                <w:color w:val="auto"/>
              </w:rPr>
            </w:pPr>
            <w:r>
              <w:rPr>
                <w:rFonts w:ascii="Arial" w:cs="Arial" w:eastAsia="Arial" w:hAnsi="Arial"/>
                <w:sz w:val="16"/>
                <w:szCs w:val="16"/>
                <w:b w:val="1"/>
                <w:bCs w:val="1"/>
                <w:color w:val="auto"/>
              </w:rPr>
              <w:t>Security</w:t>
            </w:r>
          </w:p>
        </w:tc>
        <w:tc>
          <w:tcPr>
            <w:tcW w:w="20" w:type="dxa"/>
            <w:vAlign w:val="bottom"/>
          </w:tcPr>
          <w:p>
            <w:pPr>
              <w:spacing w:after="0"/>
              <w:rPr>
                <w:sz w:val="16"/>
                <w:szCs w:val="16"/>
                <w:color w:val="auto"/>
              </w:rPr>
            </w:pPr>
          </w:p>
        </w:tc>
        <w:tc>
          <w:tcPr>
            <w:tcW w:w="1000" w:type="dxa"/>
            <w:vAlign w:val="bottom"/>
            <w:shd w:val="clear" w:color="auto" w:fill="9ADAF6"/>
          </w:tcPr>
          <w:p>
            <w:pPr>
              <w:ind w:left="180"/>
              <w:spacing w:after="0"/>
              <w:rPr>
                <w:sz w:val="20"/>
                <w:szCs w:val="20"/>
                <w:color w:val="auto"/>
              </w:rPr>
            </w:pPr>
            <w:r>
              <w:rPr>
                <w:rFonts w:ascii="Arial" w:cs="Arial" w:eastAsia="Arial" w:hAnsi="Arial"/>
                <w:sz w:val="16"/>
                <w:szCs w:val="16"/>
                <w:b w:val="1"/>
                <w:bCs w:val="1"/>
                <w:color w:val="auto"/>
              </w:rPr>
              <w:t>Security</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Calculation</w:t>
            </w:r>
          </w:p>
        </w:tc>
        <w:tc>
          <w:tcPr>
            <w:tcW w:w="20" w:type="dxa"/>
            <w:vAlign w:val="bottom"/>
          </w:tcPr>
          <w:p>
            <w:pPr>
              <w:spacing w:after="0"/>
              <w:rPr>
                <w:sz w:val="16"/>
                <w:szCs w:val="16"/>
                <w:color w:val="auto"/>
              </w:rPr>
            </w:pPr>
          </w:p>
        </w:tc>
        <w:tc>
          <w:tcPr>
            <w:tcW w:w="880" w:type="dxa"/>
            <w:vAlign w:val="bottom"/>
            <w:shd w:val="clear" w:color="auto" w:fill="9ADAF6"/>
          </w:tcPr>
          <w:p>
            <w:pPr>
              <w:jc w:val="right"/>
              <w:ind w:right="58"/>
              <w:spacing w:after="0"/>
              <w:rPr>
                <w:sz w:val="20"/>
                <w:szCs w:val="20"/>
                <w:color w:val="auto"/>
              </w:rPr>
            </w:pPr>
            <w:r>
              <w:rPr>
                <w:rFonts w:ascii="Arial" w:cs="Arial" w:eastAsia="Arial" w:hAnsi="Arial"/>
                <w:sz w:val="16"/>
                <w:szCs w:val="16"/>
                <w:b w:val="1"/>
                <w:bCs w:val="1"/>
                <w:color w:val="auto"/>
              </w:rPr>
              <w:t>Amount</w:t>
            </w:r>
          </w:p>
        </w:tc>
        <w:tc>
          <w:tcPr>
            <w:tcW w:w="20" w:type="dxa"/>
            <w:vAlign w:val="bottom"/>
          </w:tcPr>
          <w:p>
            <w:pPr>
              <w:spacing w:after="0"/>
              <w:rPr>
                <w:sz w:val="16"/>
                <w:szCs w:val="16"/>
                <w:color w:val="auto"/>
              </w:rPr>
            </w:pPr>
          </w:p>
        </w:tc>
        <w:tc>
          <w:tcPr>
            <w:tcW w:w="7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Maximum</w:t>
            </w:r>
          </w:p>
        </w:tc>
        <w:tc>
          <w:tcPr>
            <w:tcW w:w="20" w:type="dxa"/>
            <w:vAlign w:val="bottom"/>
          </w:tcPr>
          <w:p>
            <w:pPr>
              <w:spacing w:after="0"/>
              <w:rPr>
                <w:sz w:val="16"/>
                <w:szCs w:val="16"/>
                <w:color w:val="auto"/>
              </w:rPr>
            </w:pPr>
          </w:p>
        </w:tc>
        <w:tc>
          <w:tcPr>
            <w:tcW w:w="10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Aggregate</w:t>
            </w: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Amount of</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Forward</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Forward</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Forward</w:t>
            </w: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rPr>
              <w:t>with</w:t>
            </w: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ind w:left="140"/>
              <w:spacing w:after="0"/>
              <w:rPr>
                <w:sz w:val="20"/>
                <w:szCs w:val="20"/>
                <w:color w:val="auto"/>
              </w:rPr>
            </w:pPr>
            <w:r>
              <w:rPr>
                <w:rFonts w:ascii="Arial" w:cs="Arial" w:eastAsia="Arial" w:hAnsi="Arial"/>
                <w:sz w:val="16"/>
                <w:szCs w:val="16"/>
                <w:b w:val="1"/>
                <w:bCs w:val="1"/>
                <w:color w:val="auto"/>
              </w:rPr>
              <w:t>Type</w:t>
            </w:r>
          </w:p>
        </w:tc>
        <w:tc>
          <w:tcPr>
            <w:tcW w:w="20" w:type="dxa"/>
            <w:vAlign w:val="bottom"/>
          </w:tcPr>
          <w:p>
            <w:pPr>
              <w:spacing w:after="0"/>
              <w:rPr>
                <w:sz w:val="16"/>
                <w:szCs w:val="16"/>
                <w:color w:val="auto"/>
              </w:rPr>
            </w:pPr>
          </w:p>
        </w:tc>
        <w:tc>
          <w:tcPr>
            <w:tcW w:w="1000" w:type="dxa"/>
            <w:vAlign w:val="bottom"/>
            <w:shd w:val="clear" w:color="auto" w:fill="9ADAF6"/>
          </w:tcPr>
          <w:p>
            <w:pPr>
              <w:ind w:left="80"/>
              <w:spacing w:after="0"/>
              <w:rPr>
                <w:sz w:val="20"/>
                <w:szCs w:val="20"/>
                <w:color w:val="auto"/>
              </w:rPr>
            </w:pPr>
            <w:r>
              <w:rPr>
                <w:rFonts w:ascii="Arial" w:cs="Arial" w:eastAsia="Arial" w:hAnsi="Arial"/>
                <w:sz w:val="16"/>
                <w:szCs w:val="16"/>
                <w:b w:val="1"/>
                <w:bCs w:val="1"/>
                <w:color w:val="auto"/>
              </w:rPr>
              <w:t>Class Title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or Carry</w:t>
            </w:r>
          </w:p>
        </w:tc>
        <w:tc>
          <w:tcPr>
            <w:tcW w:w="20" w:type="dxa"/>
            <w:vAlign w:val="bottom"/>
          </w:tcPr>
          <w:p>
            <w:pPr>
              <w:spacing w:after="0"/>
              <w:rPr>
                <w:sz w:val="16"/>
                <w:szCs w:val="16"/>
                <w:color w:val="auto"/>
              </w:rPr>
            </w:pPr>
          </w:p>
        </w:tc>
        <w:tc>
          <w:tcPr>
            <w:tcW w:w="880" w:type="dxa"/>
            <w:vAlign w:val="bottom"/>
            <w:shd w:val="clear" w:color="auto" w:fill="9ADAF6"/>
          </w:tcPr>
          <w:p>
            <w:pPr>
              <w:jc w:val="right"/>
              <w:spacing w:after="0"/>
              <w:rPr>
                <w:sz w:val="20"/>
                <w:szCs w:val="20"/>
                <w:color w:val="auto"/>
              </w:rPr>
            </w:pPr>
            <w:r>
              <w:rPr>
                <w:rFonts w:ascii="Arial" w:cs="Arial" w:eastAsia="Arial" w:hAnsi="Arial"/>
                <w:sz w:val="16"/>
                <w:szCs w:val="16"/>
                <w:b w:val="1"/>
                <w:bCs w:val="1"/>
                <w:color w:val="auto"/>
              </w:rPr>
              <w:t>Registered</w:t>
            </w:r>
          </w:p>
        </w:tc>
        <w:tc>
          <w:tcPr>
            <w:tcW w:w="20" w:type="dxa"/>
            <w:vAlign w:val="bottom"/>
          </w:tcPr>
          <w:p>
            <w:pPr>
              <w:spacing w:after="0"/>
              <w:rPr>
                <w:sz w:val="16"/>
                <w:szCs w:val="16"/>
                <w:color w:val="auto"/>
              </w:rPr>
            </w:pPr>
          </w:p>
        </w:tc>
        <w:tc>
          <w:tcPr>
            <w:tcW w:w="7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Offering</w:t>
            </w:r>
          </w:p>
        </w:tc>
        <w:tc>
          <w:tcPr>
            <w:tcW w:w="20" w:type="dxa"/>
            <w:vAlign w:val="bottom"/>
          </w:tcPr>
          <w:p>
            <w:pPr>
              <w:spacing w:after="0"/>
              <w:rPr>
                <w:sz w:val="16"/>
                <w:szCs w:val="16"/>
                <w:color w:val="auto"/>
              </w:rPr>
            </w:pPr>
          </w:p>
        </w:tc>
        <w:tc>
          <w:tcPr>
            <w:tcW w:w="10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Offering</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Fee Rate</w:t>
            </w:r>
          </w:p>
        </w:tc>
        <w:tc>
          <w:tcPr>
            <w:tcW w:w="20" w:type="dxa"/>
            <w:vAlign w:val="bottom"/>
          </w:tcPr>
          <w:p>
            <w:pPr>
              <w:spacing w:after="0"/>
              <w:rPr>
                <w:sz w:val="16"/>
                <w:szCs w:val="16"/>
                <w:color w:val="auto"/>
              </w:rPr>
            </w:pPr>
          </w:p>
        </w:tc>
        <w:tc>
          <w:tcPr>
            <w:tcW w:w="10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Registration</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Form</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File</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Initial</w:t>
            </w: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rPr>
              <w:t>Unsold</w:t>
            </w: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Forward</w:t>
            </w: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Price Per</w:t>
            </w:r>
          </w:p>
        </w:tc>
        <w:tc>
          <w:tcPr>
            <w:tcW w:w="20" w:type="dxa"/>
            <w:vAlign w:val="bottom"/>
          </w:tcPr>
          <w:p>
            <w:pPr>
              <w:spacing w:after="0"/>
              <w:rPr>
                <w:sz w:val="16"/>
                <w:szCs w:val="16"/>
                <w:color w:val="auto"/>
              </w:rPr>
            </w:pPr>
          </w:p>
        </w:tc>
        <w:tc>
          <w:tcPr>
            <w:tcW w:w="10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Price</w:t>
            </w: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Fee</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6"/>
              </w:rPr>
              <w:t>Type</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Number</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Effective</w:t>
            </w: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rPr>
              <w:t>Securities</w:t>
            </w: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Rule</w:t>
            </w: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Unit</w:t>
            </w:r>
          </w:p>
        </w:tc>
        <w:tc>
          <w:tcPr>
            <w:tcW w:w="20" w:type="dxa"/>
            <w:vAlign w:val="bottom"/>
          </w:tcPr>
          <w:p>
            <w:pPr>
              <w:spacing w:after="0"/>
              <w:rPr>
                <w:sz w:val="16"/>
                <w:szCs w:val="16"/>
                <w:color w:val="auto"/>
              </w:rPr>
            </w:pPr>
          </w:p>
        </w:tc>
        <w:tc>
          <w:tcPr>
            <w:tcW w:w="10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Date</w:t>
            </w:r>
          </w:p>
        </w:tc>
        <w:tc>
          <w:tcPr>
            <w:tcW w:w="20" w:type="dxa"/>
            <w:vAlign w:val="bottom"/>
          </w:tcPr>
          <w:p>
            <w:pPr>
              <w:spacing w:after="0"/>
              <w:rPr>
                <w:sz w:val="16"/>
                <w:szCs w:val="16"/>
                <w:color w:val="auto"/>
              </w:rPr>
            </w:pPr>
          </w:p>
        </w:tc>
        <w:tc>
          <w:tcPr>
            <w:tcW w:w="96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to be</w:t>
            </w: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7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right w:val="single" w:sz="8" w:color="auto"/>
            </w:tcBorders>
            <w:vMerge w:val="continue"/>
            <w:shd w:val="clear" w:color="auto" w:fill="9ADAF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rPr>
              <w:t>Carried</w:t>
            </w:r>
          </w:p>
        </w:tc>
        <w:tc>
          <w:tcPr>
            <w:tcW w:w="0" w:type="dxa"/>
            <w:vAlign w:val="bottom"/>
          </w:tcPr>
          <w:p>
            <w:pPr>
              <w:spacing w:after="0"/>
              <w:rPr>
                <w:sz w:val="1"/>
                <w:szCs w:val="1"/>
                <w:color w:val="auto"/>
              </w:rPr>
            </w:pPr>
          </w:p>
        </w:tc>
      </w:tr>
      <w:tr>
        <w:trPr>
          <w:trHeight w:val="217"/>
        </w:trPr>
        <w:tc>
          <w:tcPr>
            <w:tcW w:w="40" w:type="dxa"/>
            <w:vAlign w:val="bottom"/>
            <w:tcBorders>
              <w:left w:val="single" w:sz="8" w:color="auto"/>
            </w:tcBorders>
          </w:tcPr>
          <w:p>
            <w:pPr>
              <w:spacing w:after="0"/>
              <w:rPr>
                <w:sz w:val="18"/>
                <w:szCs w:val="18"/>
                <w:color w:val="auto"/>
              </w:rPr>
            </w:pPr>
          </w:p>
        </w:tc>
        <w:tc>
          <w:tcPr>
            <w:tcW w:w="7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rPr>
              <w:t>Forward</w:t>
            </w:r>
          </w:p>
        </w:tc>
        <w:tc>
          <w:tcPr>
            <w:tcW w:w="0" w:type="dxa"/>
            <w:vAlign w:val="bottom"/>
          </w:tcPr>
          <w:p>
            <w:pPr>
              <w:spacing w:after="0"/>
              <w:rPr>
                <w:sz w:val="1"/>
                <w:szCs w:val="1"/>
                <w:color w:val="auto"/>
              </w:rPr>
            </w:pPr>
          </w:p>
        </w:tc>
      </w:tr>
      <w:tr>
        <w:trPr>
          <w:trHeight w:val="241"/>
        </w:trPr>
        <w:tc>
          <w:tcPr>
            <w:tcW w:w="40" w:type="dxa"/>
            <w:vAlign w:val="bottom"/>
            <w:tcBorders>
              <w:left w:val="single" w:sz="8" w:color="auto"/>
            </w:tcBorders>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00" w:type="dxa"/>
            <w:vAlign w:val="bottom"/>
            <w:gridSpan w:val="5"/>
          </w:tcPr>
          <w:p>
            <w:pPr>
              <w:jc w:val="center"/>
              <w:ind w:right="338"/>
              <w:spacing w:after="0"/>
              <w:rPr>
                <w:sz w:val="20"/>
                <w:szCs w:val="20"/>
                <w:color w:val="auto"/>
              </w:rPr>
            </w:pPr>
            <w:r>
              <w:rPr>
                <w:rFonts w:ascii="Arial" w:cs="Arial" w:eastAsia="Arial" w:hAnsi="Arial"/>
                <w:sz w:val="16"/>
                <w:szCs w:val="16"/>
                <w:b w:val="1"/>
                <w:bCs w:val="1"/>
                <w:color w:val="auto"/>
              </w:rPr>
              <w:t>Newly Registered Securities</w:t>
            </w: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line="181" w:lineRule="exact"/>
              <w:rPr>
                <w:sz w:val="20"/>
                <w:szCs w:val="20"/>
                <w:color w:val="auto"/>
              </w:rPr>
            </w:pPr>
            <w:r>
              <w:rPr>
                <w:rFonts w:ascii="Arial" w:cs="Arial" w:eastAsia="Arial" w:hAnsi="Arial"/>
                <w:sz w:val="16"/>
                <w:szCs w:val="16"/>
                <w:color w:val="auto"/>
              </w:rPr>
              <w:t>7.25% Fixed-</w:t>
            </w: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20"/>
                <w:szCs w:val="20"/>
                <w:color w:val="auto"/>
              </w:rPr>
            </w:pPr>
            <w:r>
              <w:rPr>
                <w:rFonts w:ascii="Arial" w:cs="Arial" w:eastAsia="Arial" w:hAnsi="Arial"/>
                <w:sz w:val="16"/>
                <w:szCs w:val="16"/>
                <w:color w:val="auto"/>
              </w:rPr>
              <w:t>to-Floating</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rPr>
                <w:sz w:val="20"/>
                <w:szCs w:val="20"/>
                <w:color w:val="auto"/>
              </w:rPr>
            </w:pPr>
            <w:r>
              <w:rPr>
                <w:rFonts w:ascii="Arial" w:cs="Arial" w:eastAsia="Arial" w:hAnsi="Arial"/>
                <w:sz w:val="16"/>
                <w:szCs w:val="16"/>
                <w:color w:val="auto"/>
              </w:rPr>
              <w:t>Fees to</w:t>
            </w:r>
          </w:p>
        </w:tc>
        <w:tc>
          <w:tcPr>
            <w:tcW w:w="20" w:type="dxa"/>
            <w:vAlign w:val="bottom"/>
          </w:tcPr>
          <w:p>
            <w:pPr>
              <w:spacing w:after="0"/>
              <w:rPr>
                <w:sz w:val="16"/>
                <w:szCs w:val="16"/>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89"/>
              </w:rPr>
              <w:t>1</w:t>
            </w:r>
          </w:p>
        </w:tc>
        <w:tc>
          <w:tcPr>
            <w:tcW w:w="20" w:type="dxa"/>
            <w:vAlign w:val="bottom"/>
          </w:tcPr>
          <w:p>
            <w:pPr>
              <w:spacing w:after="0"/>
              <w:rPr>
                <w:sz w:val="16"/>
                <w:szCs w:val="16"/>
                <w:color w:val="auto"/>
              </w:rPr>
            </w:pPr>
          </w:p>
        </w:tc>
        <w:tc>
          <w:tcPr>
            <w:tcW w:w="68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Debt</w:t>
            </w: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20"/>
                <w:szCs w:val="20"/>
                <w:color w:val="auto"/>
              </w:rPr>
            </w:pPr>
            <w:r>
              <w:rPr>
                <w:rFonts w:ascii="Arial" w:cs="Arial" w:eastAsia="Arial" w:hAnsi="Arial"/>
                <w:sz w:val="16"/>
                <w:szCs w:val="16"/>
                <w:color w:val="auto"/>
              </w:rPr>
              <w:t>Rate</w:t>
            </w:r>
          </w:p>
        </w:tc>
        <w:tc>
          <w:tcPr>
            <w:tcW w:w="20" w:type="dxa"/>
            <w:vAlign w:val="bottom"/>
          </w:tcPr>
          <w:p>
            <w:pPr>
              <w:spacing w:after="0"/>
              <w:rPr>
                <w:sz w:val="16"/>
                <w:szCs w:val="16"/>
                <w:color w:val="auto"/>
              </w:rPr>
            </w:pPr>
          </w:p>
        </w:tc>
        <w:tc>
          <w:tcPr>
            <w:tcW w:w="92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9"/>
              </w:rPr>
              <w:t>Other</w:t>
            </w:r>
          </w:p>
        </w:tc>
        <w:tc>
          <w:tcPr>
            <w:tcW w:w="20" w:type="dxa"/>
            <w:vAlign w:val="bottom"/>
          </w:tcPr>
          <w:p>
            <w:pPr>
              <w:spacing w:after="0"/>
              <w:rPr>
                <w:sz w:val="16"/>
                <w:szCs w:val="16"/>
                <w:color w:val="auto"/>
              </w:rPr>
            </w:pPr>
          </w:p>
        </w:tc>
        <w:tc>
          <w:tcPr>
            <w:tcW w:w="88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35,000,000</w:t>
            </w: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shd w:val="clear" w:color="auto" w:fill="E7E7E2"/>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80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0.0001381</w:t>
            </w:r>
          </w:p>
        </w:tc>
        <w:tc>
          <w:tcPr>
            <w:tcW w:w="20" w:type="dxa"/>
            <w:vAlign w:val="bottom"/>
          </w:tcPr>
          <w:p>
            <w:pPr>
              <w:spacing w:after="0"/>
              <w:rPr>
                <w:sz w:val="16"/>
                <w:szCs w:val="16"/>
                <w:color w:val="auto"/>
              </w:rPr>
            </w:pPr>
          </w:p>
        </w:tc>
        <w:tc>
          <w:tcPr>
            <w:tcW w:w="100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$ 4,833.50</w:t>
            </w: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rPr>
                <w:sz w:val="20"/>
                <w:szCs w:val="20"/>
                <w:color w:val="auto"/>
              </w:rPr>
            </w:pPr>
            <w:r>
              <w:rPr>
                <w:rFonts w:ascii="Arial" w:cs="Arial" w:eastAsia="Arial" w:hAnsi="Arial"/>
                <w:sz w:val="16"/>
                <w:szCs w:val="16"/>
                <w:color w:val="auto"/>
              </w:rPr>
              <w:t>be Paid</w:t>
            </w:r>
          </w:p>
        </w:tc>
        <w:tc>
          <w:tcPr>
            <w:tcW w:w="20" w:type="dxa"/>
            <w:vAlign w:val="bottom"/>
          </w:tcPr>
          <w:p>
            <w:pPr>
              <w:spacing w:after="0"/>
              <w:rPr>
                <w:sz w:val="16"/>
                <w:szCs w:val="16"/>
                <w:color w:val="auto"/>
              </w:rPr>
            </w:pPr>
          </w:p>
        </w:tc>
        <w:tc>
          <w:tcPr>
            <w:tcW w:w="12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20"/>
                <w:szCs w:val="20"/>
                <w:color w:val="auto"/>
              </w:rPr>
            </w:pPr>
            <w:r>
              <w:rPr>
                <w:rFonts w:ascii="Arial" w:cs="Arial" w:eastAsia="Arial" w:hAnsi="Arial"/>
                <w:sz w:val="16"/>
                <w:szCs w:val="16"/>
                <w:color w:val="auto"/>
              </w:rPr>
              <w:t>Subordinated</w:t>
            </w:r>
          </w:p>
        </w:tc>
        <w:tc>
          <w:tcPr>
            <w:tcW w:w="20" w:type="dxa"/>
            <w:vAlign w:val="bottom"/>
          </w:tcPr>
          <w:p>
            <w:pPr>
              <w:spacing w:after="0"/>
              <w:rPr>
                <w:sz w:val="16"/>
                <w:szCs w:val="16"/>
                <w:color w:val="auto"/>
              </w:rPr>
            </w:pPr>
          </w:p>
        </w:tc>
        <w:tc>
          <w:tcPr>
            <w:tcW w:w="92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shd w:val="clear" w:color="auto" w:fill="E7E7E2"/>
          </w:tcPr>
          <w:p>
            <w:pPr>
              <w:jc w:val="right"/>
              <w:spacing w:after="0"/>
              <w:rPr>
                <w:sz w:val="20"/>
                <w:szCs w:val="20"/>
                <w:color w:val="auto"/>
              </w:rPr>
            </w:pPr>
            <w:r>
              <w:rPr>
                <w:rFonts w:ascii="Arial" w:cs="Arial" w:eastAsia="Arial" w:hAnsi="Arial"/>
                <w:sz w:val="16"/>
                <w:szCs w:val="16"/>
                <w:color w:val="auto"/>
              </w:rPr>
              <w:t>35,000,000.00</w:t>
            </w:r>
          </w:p>
        </w:tc>
        <w:tc>
          <w:tcPr>
            <w:tcW w:w="20" w:type="dxa"/>
            <w:vAlign w:val="bottom"/>
          </w:tcPr>
          <w:p>
            <w:pPr>
              <w:spacing w:after="0"/>
              <w:rPr>
                <w:sz w:val="16"/>
                <w:szCs w:val="16"/>
                <w:color w:val="auto"/>
              </w:rPr>
            </w:pPr>
          </w:p>
        </w:tc>
        <w:tc>
          <w:tcPr>
            <w:tcW w:w="80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20"/>
                <w:szCs w:val="20"/>
                <w:color w:val="auto"/>
              </w:rPr>
            </w:pPr>
            <w:r>
              <w:rPr>
                <w:rFonts w:ascii="Arial" w:cs="Arial" w:eastAsia="Arial" w:hAnsi="Arial"/>
                <w:sz w:val="16"/>
                <w:szCs w:val="16"/>
                <w:color w:val="auto"/>
              </w:rPr>
              <w:t>Notes due</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0" w:type="dxa"/>
            <w:vAlign w:val="bottom"/>
            <w:tcBorders>
              <w:left w:val="single" w:sz="8" w:color="auto"/>
            </w:tcBorders>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shd w:val="clear" w:color="auto" w:fill="E7E7E2"/>
          </w:tcPr>
          <w:p>
            <w:pPr>
              <w:spacing w:after="0"/>
              <w:rPr>
                <w:sz w:val="20"/>
                <w:szCs w:val="20"/>
                <w:color w:val="auto"/>
              </w:rPr>
            </w:pPr>
            <w:r>
              <w:rPr>
                <w:rFonts w:ascii="Arial" w:cs="Arial" w:eastAsia="Arial" w:hAnsi="Arial"/>
                <w:sz w:val="16"/>
                <w:szCs w:val="16"/>
                <w:color w:val="auto"/>
              </w:rPr>
              <w:t>2036</w:t>
            </w: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line="175" w:lineRule="exact"/>
              <w:rPr>
                <w:sz w:val="20"/>
                <w:szCs w:val="20"/>
                <w:color w:val="auto"/>
              </w:rPr>
            </w:pPr>
            <w:r>
              <w:rPr>
                <w:rFonts w:ascii="Arial" w:cs="Arial" w:eastAsia="Arial" w:hAnsi="Arial"/>
                <w:sz w:val="16"/>
                <w:szCs w:val="16"/>
                <w:color w:val="auto"/>
              </w:rPr>
              <w:t>Fees</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rPr>
                <w:sz w:val="20"/>
                <w:szCs w:val="20"/>
                <w:color w:val="auto"/>
              </w:rPr>
            </w:pPr>
            <w:r>
              <w:rPr>
                <w:rFonts w:ascii="Arial" w:cs="Arial" w:eastAsia="Arial" w:hAnsi="Arial"/>
                <w:sz w:val="16"/>
                <w:szCs w:val="16"/>
                <w:color w:val="auto"/>
              </w:rPr>
              <w:t>Previously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0" w:type="dxa"/>
            <w:vAlign w:val="bottom"/>
            <w:tcBorders>
              <w:left w:val="single" w:sz="8" w:color="auto"/>
            </w:tcBorders>
          </w:tcPr>
          <w:p>
            <w:pPr>
              <w:spacing w:after="0"/>
              <w:rPr>
                <w:sz w:val="18"/>
                <w:szCs w:val="18"/>
                <w:color w:val="auto"/>
              </w:rPr>
            </w:pPr>
          </w:p>
        </w:tc>
        <w:tc>
          <w:tcPr>
            <w:tcW w:w="780" w:type="dxa"/>
            <w:vAlign w:val="bottom"/>
            <w:shd w:val="clear" w:color="auto" w:fill="E7E7E2"/>
          </w:tcPr>
          <w:p>
            <w:pPr>
              <w:spacing w:after="0"/>
              <w:rPr>
                <w:sz w:val="20"/>
                <w:szCs w:val="20"/>
                <w:color w:val="auto"/>
              </w:rPr>
            </w:pPr>
            <w:r>
              <w:rPr>
                <w:rFonts w:ascii="Arial" w:cs="Arial" w:eastAsia="Arial" w:hAnsi="Arial"/>
                <w:sz w:val="16"/>
                <w:szCs w:val="16"/>
                <w:color w:val="auto"/>
              </w:rPr>
              <w:t>Paid</w:t>
            </w: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0" w:type="dxa"/>
            <w:vAlign w:val="bottom"/>
            <w:tcBorders>
              <w:left w:val="single" w:sz="8" w:color="auto"/>
            </w:tcBorders>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00" w:type="dxa"/>
            <w:vAlign w:val="bottom"/>
            <w:gridSpan w:val="5"/>
          </w:tcPr>
          <w:p>
            <w:pPr>
              <w:jc w:val="center"/>
              <w:ind w:right="338"/>
              <w:spacing w:after="0"/>
              <w:rPr>
                <w:sz w:val="20"/>
                <w:szCs w:val="20"/>
                <w:color w:val="auto"/>
              </w:rPr>
            </w:pPr>
            <w:r>
              <w:rPr>
                <w:rFonts w:ascii="Arial" w:cs="Arial" w:eastAsia="Arial" w:hAnsi="Arial"/>
                <w:sz w:val="16"/>
                <w:szCs w:val="16"/>
                <w:b w:val="1"/>
                <w:bCs w:val="1"/>
                <w:color w:val="auto"/>
              </w:rPr>
              <w:t>Carry Forward Securities</w:t>
            </w: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line="181" w:lineRule="exact"/>
              <w:rPr>
                <w:sz w:val="20"/>
                <w:szCs w:val="20"/>
                <w:color w:val="auto"/>
              </w:rPr>
            </w:pPr>
            <w:r>
              <w:rPr>
                <w:rFonts w:ascii="Arial" w:cs="Arial" w:eastAsia="Arial" w:hAnsi="Arial"/>
                <w:sz w:val="16"/>
                <w:szCs w:val="16"/>
                <w:color w:val="auto"/>
              </w:rPr>
              <w:t>Carry</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rPr>
                <w:sz w:val="20"/>
                <w:szCs w:val="20"/>
                <w:color w:val="auto"/>
              </w:rPr>
            </w:pPr>
            <w:r>
              <w:rPr>
                <w:rFonts w:ascii="Arial" w:cs="Arial" w:eastAsia="Arial" w:hAnsi="Arial"/>
                <w:sz w:val="16"/>
                <w:szCs w:val="16"/>
                <w:color w:val="auto"/>
              </w:rPr>
              <w:t>Forward</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0" w:type="dxa"/>
            <w:vAlign w:val="bottom"/>
            <w:tcBorders>
              <w:left w:val="single" w:sz="8" w:color="auto"/>
            </w:tcBorders>
          </w:tcPr>
          <w:p>
            <w:pPr>
              <w:spacing w:after="0"/>
              <w:rPr>
                <w:sz w:val="18"/>
                <w:szCs w:val="18"/>
                <w:color w:val="auto"/>
              </w:rPr>
            </w:pPr>
          </w:p>
        </w:tc>
        <w:tc>
          <w:tcPr>
            <w:tcW w:w="780" w:type="dxa"/>
            <w:vAlign w:val="bottom"/>
            <w:shd w:val="clear" w:color="auto" w:fill="E7E7E2"/>
          </w:tcPr>
          <w:p>
            <w:pPr>
              <w:spacing w:after="0"/>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20" w:type="dxa"/>
            <w:vAlign w:val="bottom"/>
            <w:gridSpan w:val="3"/>
          </w:tcPr>
          <w:p>
            <w:pPr>
              <w:jc w:val="right"/>
              <w:spacing w:after="0"/>
              <w:rPr>
                <w:sz w:val="20"/>
                <w:szCs w:val="20"/>
                <w:color w:val="auto"/>
              </w:rPr>
            </w:pPr>
            <w:r>
              <w:rPr>
                <w:rFonts w:ascii="Arial" w:cs="Arial" w:eastAsia="Arial" w:hAnsi="Arial"/>
                <w:sz w:val="16"/>
                <w:szCs w:val="16"/>
                <w:color w:val="auto"/>
              </w:rPr>
              <w:t>Total Offering Amounts:</w:t>
            </w: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$ 4,833.50</w:t>
            </w: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0" w:type="dxa"/>
            <w:vAlign w:val="bottom"/>
            <w:tcBorders>
              <w:left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35,000,000.00</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40" w:type="dxa"/>
            <w:vAlign w:val="bottom"/>
            <w:gridSpan w:val="5"/>
          </w:tcPr>
          <w:p>
            <w:pPr>
              <w:jc w:val="right"/>
              <w:spacing w:after="0"/>
              <w:rPr>
                <w:sz w:val="20"/>
                <w:szCs w:val="20"/>
                <w:color w:val="auto"/>
              </w:rPr>
            </w:pPr>
            <w:r>
              <w:rPr>
                <w:rFonts w:ascii="Arial" w:cs="Arial" w:eastAsia="Arial" w:hAnsi="Arial"/>
                <w:sz w:val="16"/>
                <w:szCs w:val="16"/>
                <w:color w:val="auto"/>
              </w:rPr>
              <w:t>Total Fees Previously Paid:</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$ 0.00</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20" w:type="dxa"/>
            <w:vAlign w:val="bottom"/>
            <w:gridSpan w:val="3"/>
          </w:tcPr>
          <w:p>
            <w:pPr>
              <w:jc w:val="right"/>
              <w:spacing w:after="0"/>
              <w:rPr>
                <w:sz w:val="20"/>
                <w:szCs w:val="20"/>
                <w:color w:val="auto"/>
              </w:rPr>
            </w:pPr>
            <w:r>
              <w:rPr>
                <w:rFonts w:ascii="Arial" w:cs="Arial" w:eastAsia="Arial" w:hAnsi="Arial"/>
                <w:sz w:val="16"/>
                <w:szCs w:val="16"/>
                <w:color w:val="auto"/>
              </w:rPr>
              <w:t>Total Fee Offsets:</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$ 0.00</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 w:type="dxa"/>
            <w:vAlign w:val="bottom"/>
            <w:tcBorders>
              <w:left w:val="single" w:sz="8" w:color="auto"/>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Net Fee Due:</w:t>
            </w:r>
          </w:p>
        </w:tc>
        <w:tc>
          <w:tcPr>
            <w:tcW w:w="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$ 4,833.50</w:t>
            </w: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Offering Note</w:t>
      </w:r>
    </w:p>
    <w:p>
      <w:pPr>
        <w:spacing w:after="0" w:line="125" w:lineRule="exact"/>
        <w:rPr>
          <w:sz w:val="20"/>
          <w:szCs w:val="20"/>
          <w:color w:val="auto"/>
        </w:rPr>
      </w:pPr>
    </w:p>
    <w:p>
      <w:pPr>
        <w:ind w:left="40"/>
        <w:spacing w:after="0"/>
        <w:rPr>
          <w:sz w:val="20"/>
          <w:szCs w:val="20"/>
          <w:color w:val="auto"/>
        </w:rPr>
      </w:pPr>
      <w:r>
        <w:rPr>
          <w:rFonts w:ascii="Arial" w:cs="Arial" w:eastAsia="Arial" w:hAnsi="Arial"/>
          <w:sz w:val="10"/>
          <w:szCs w:val="10"/>
          <w:color w:val="auto"/>
        </w:rPr>
        <w:t>1</w:t>
      </w:r>
    </w:p>
    <w:p>
      <w:pPr>
        <w:spacing w:after="0" w:line="60" w:lineRule="exact"/>
        <w:rPr>
          <w:sz w:val="20"/>
          <w:szCs w:val="20"/>
          <w:color w:val="auto"/>
        </w:rPr>
      </w:pPr>
    </w:p>
    <w:p>
      <w:pPr>
        <w:jc w:val="both"/>
        <w:ind w:left="200" w:right="140"/>
        <w:spacing w:after="0" w:line="263" w:lineRule="auto"/>
        <w:rPr>
          <w:sz w:val="20"/>
          <w:szCs w:val="20"/>
          <w:color w:val="auto"/>
        </w:rPr>
      </w:pPr>
      <w:r>
        <w:rPr>
          <w:rFonts w:ascii="Arial" w:cs="Arial" w:eastAsia="Arial" w:hAnsi="Arial"/>
          <w:sz w:val="16"/>
          <w:szCs w:val="16"/>
          <w:color w:val="auto"/>
        </w:rPr>
        <w:t>Estimated solely for the purpose of calculating the registration fee required by Section 6(b) of the Securities Act of 1933, as amended, and calculated in accordance with Rule 457(f) promulgated thereunder. Represents the maximum aggregate offering price of all notes to be offered in the exchange offer to which the registration statement relates.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48260</wp:posOffset>
            </wp:positionV>
            <wp:extent cx="715073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1">
                      <a:extLst>
                        <a:ext uri="{28A0092B-C50C-407E-A947-70E740481C1C}"/>
                      </a:extLst>
                    </a:blip>
                    <a:srcRect/>
                    <a:stretch>
                      <a:fillRect/>
                    </a:stretch>
                  </pic:blipFill>
                  <pic:spPr bwMode="auto">
                    <a:xfrm>
                      <a:off x="0" y="0"/>
                      <a:ext cx="7150735" cy="38735"/>
                    </a:xfrm>
                    <a:prstGeom prst="rect">
                      <a:avLst/>
                    </a:prstGeom>
                    <a:noFill/>
                  </pic:spPr>
                </pic:pic>
              </a:graphicData>
            </a:graphic>
          </wp:anchor>
        </w:drawing>
      </w:r>
    </w:p>
    <w:p>
      <w:pPr>
        <w:spacing w:after="0" w:line="399"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40" w:type="dxa"/>
            <w:vAlign w:val="bottom"/>
            <w:tcBorders>
              <w:bottom w:val="single" w:sz="8" w:color="auto"/>
            </w:tcBorders>
          </w:tcPr>
          <w:p>
            <w:pPr>
              <w:spacing w:after="0"/>
              <w:rPr>
                <w:sz w:val="23"/>
                <w:szCs w:val="23"/>
                <w:color w:val="auto"/>
              </w:rPr>
            </w:pPr>
          </w:p>
        </w:tc>
        <w:tc>
          <w:tcPr>
            <w:tcW w:w="3380" w:type="dxa"/>
            <w:vAlign w:val="bottom"/>
            <w:tcBorders>
              <w:bottom w:val="single" w:sz="8" w:color="auto"/>
            </w:tcBorders>
            <w:gridSpan w:val="9"/>
          </w:tcPr>
          <w:p>
            <w:pPr>
              <w:spacing w:after="0"/>
              <w:rPr>
                <w:sz w:val="20"/>
                <w:szCs w:val="20"/>
                <w:color w:val="auto"/>
              </w:rPr>
            </w:pPr>
            <w:r>
              <w:rPr>
                <w:rFonts w:ascii="Arial" w:cs="Arial" w:eastAsia="Arial" w:hAnsi="Arial"/>
                <w:sz w:val="16"/>
                <w:szCs w:val="16"/>
                <w:b w:val="1"/>
                <w:bCs w:val="1"/>
                <w:color w:val="auto"/>
              </w:rPr>
              <w:t>Table 2: Fee Offset Claims and Sources</w:t>
            </w: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gridSpan w:val="6"/>
          </w:tcPr>
          <w:p>
            <w:pPr>
              <w:ind w:left="360"/>
              <w:spacing w:after="0" w:line="184" w:lineRule="exact"/>
              <w:rPr>
                <w:sz w:val="20"/>
                <w:szCs w:val="20"/>
                <w:color w:val="auto"/>
              </w:rPr>
            </w:pPr>
            <w:r>
              <w:rPr>
                <w:rFonts w:ascii="MS PGothic" w:cs="MS PGothic" w:eastAsia="MS PGothic" w:hAnsi="MS PGothic"/>
                <w:sz w:val="16"/>
                <w:szCs w:val="16"/>
                <w:color w:val="auto"/>
                <w:highlight w:val="black"/>
              </w:rPr>
              <w:t>☑</w:t>
            </w:r>
            <w:r>
              <w:rPr>
                <w:rFonts w:ascii="Arial" w:cs="Arial" w:eastAsia="Arial" w:hAnsi="Arial"/>
                <w:sz w:val="16"/>
                <w:szCs w:val="16"/>
                <w:b w:val="1"/>
                <w:bCs w:val="1"/>
                <w:color w:val="auto"/>
              </w:rPr>
              <w:t>Not Applicable</w:t>
            </w: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60" w:type="dxa"/>
            <w:vAlign w:val="bottom"/>
            <w:tcBorders>
              <w:right w:val="single" w:sz="8" w:color="9ADAF6"/>
            </w:tcBorders>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Unsold</w:t>
            </w: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60" w:type="dxa"/>
            <w:vAlign w:val="bottom"/>
            <w:tcBorders>
              <w:right w:val="single" w:sz="8" w:color="9ADAF6"/>
            </w:tcBorders>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Security</w:t>
            </w:r>
          </w:p>
        </w:tc>
        <w:tc>
          <w:tcPr>
            <w:tcW w:w="20" w:type="dxa"/>
            <w:vAlign w:val="bottom"/>
          </w:tcPr>
          <w:p>
            <w:pPr>
              <w:spacing w:after="0"/>
              <w:rPr>
                <w:sz w:val="16"/>
                <w:szCs w:val="16"/>
                <w:color w:val="auto"/>
              </w:rPr>
            </w:pPr>
          </w:p>
        </w:tc>
        <w:tc>
          <w:tcPr>
            <w:tcW w:w="90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Security</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Unsold</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Aggregate</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Fee</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Form</w:t>
            </w: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60" w:type="dxa"/>
            <w:vAlign w:val="bottom"/>
            <w:tcBorders>
              <w:right w:val="single" w:sz="8" w:color="9ADAF6"/>
            </w:tcBorders>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6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Initial</w:t>
            </w: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gridSpan w:val="3"/>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Fee</w:t>
            </w: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Type</w:t>
            </w:r>
          </w:p>
        </w:tc>
        <w:tc>
          <w:tcPr>
            <w:tcW w:w="20" w:type="dxa"/>
            <w:vAlign w:val="bottom"/>
          </w:tcPr>
          <w:p>
            <w:pPr>
              <w:spacing w:after="0"/>
              <w:rPr>
                <w:sz w:val="16"/>
                <w:szCs w:val="16"/>
                <w:color w:val="auto"/>
              </w:rPr>
            </w:pPr>
          </w:p>
        </w:tc>
        <w:tc>
          <w:tcPr>
            <w:tcW w:w="90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Title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Securities</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Offering</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Paid</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600" w:type="dxa"/>
            <w:vAlign w:val="bottom"/>
            <w:gridSpan w:val="3"/>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Registrant or Filer</w:t>
            </w: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or</w:t>
            </w:r>
          </w:p>
        </w:tc>
        <w:tc>
          <w:tcPr>
            <w:tcW w:w="20" w:type="dxa"/>
            <w:vAlign w:val="bottom"/>
          </w:tcPr>
          <w:p>
            <w:pPr>
              <w:spacing w:after="0"/>
              <w:rPr>
                <w:sz w:val="8"/>
                <w:szCs w:val="8"/>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File</w:t>
            </w:r>
          </w:p>
        </w:tc>
        <w:tc>
          <w:tcPr>
            <w:tcW w:w="60" w:type="dxa"/>
            <w:vAlign w:val="bottom"/>
            <w:tcBorders>
              <w:right w:val="single" w:sz="8" w:color="9ADAF6"/>
            </w:tcBorders>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Filing</w:t>
            </w:r>
          </w:p>
        </w:tc>
        <w:tc>
          <w:tcPr>
            <w:tcW w:w="20" w:type="dxa"/>
            <w:vAlign w:val="bottom"/>
          </w:tcPr>
          <w:p>
            <w:pPr>
              <w:spacing w:after="0"/>
              <w:rPr>
                <w:sz w:val="8"/>
                <w:szCs w:val="8"/>
                <w:color w:val="auto"/>
              </w:rPr>
            </w:pPr>
          </w:p>
        </w:tc>
        <w:tc>
          <w:tcPr>
            <w:tcW w:w="68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8"/>
                <w:szCs w:val="8"/>
                <w:color w:val="auto"/>
              </w:rPr>
            </w:pPr>
          </w:p>
        </w:tc>
        <w:tc>
          <w:tcPr>
            <w:tcW w:w="900" w:type="dxa"/>
            <w:vAlign w:val="bottom"/>
            <w:gridSpan w:val="3"/>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8"/>
                <w:szCs w:val="8"/>
                <w:color w:val="auto"/>
              </w:rPr>
            </w:pPr>
          </w:p>
        </w:tc>
        <w:tc>
          <w:tcPr>
            <w:tcW w:w="920" w:type="dxa"/>
            <w:vAlign w:val="bottom"/>
            <w:gridSpan w:val="3"/>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8"/>
                <w:szCs w:val="8"/>
                <w:color w:val="auto"/>
              </w:rPr>
            </w:pPr>
          </w:p>
        </w:tc>
        <w:tc>
          <w:tcPr>
            <w:tcW w:w="960" w:type="dxa"/>
            <w:vAlign w:val="bottom"/>
            <w:gridSpan w:val="3"/>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Amount</w:t>
            </w:r>
          </w:p>
        </w:tc>
        <w:tc>
          <w:tcPr>
            <w:tcW w:w="20" w:type="dxa"/>
            <w:vAlign w:val="bottom"/>
          </w:tcPr>
          <w:p>
            <w:pPr>
              <w:spacing w:after="0"/>
              <w:rPr>
                <w:sz w:val="8"/>
                <w:szCs w:val="8"/>
                <w:color w:val="auto"/>
              </w:rPr>
            </w:pPr>
          </w:p>
        </w:tc>
        <w:tc>
          <w:tcPr>
            <w:tcW w:w="66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with</w:t>
            </w:r>
          </w:p>
        </w:tc>
        <w:tc>
          <w:tcPr>
            <w:tcW w:w="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40" w:type="dxa"/>
            <w:vAlign w:val="bottom"/>
            <w:tcBorders>
              <w:left w:val="single" w:sz="8" w:color="auto"/>
            </w:tcBorders>
          </w:tcPr>
          <w:p>
            <w:pPr>
              <w:spacing w:after="0"/>
              <w:rPr>
                <w:sz w:val="9"/>
                <w:szCs w:val="9"/>
                <w:color w:val="auto"/>
              </w:rPr>
            </w:pPr>
          </w:p>
        </w:tc>
        <w:tc>
          <w:tcPr>
            <w:tcW w:w="44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5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600" w:type="dxa"/>
            <w:vAlign w:val="bottom"/>
            <w:gridSpan w:val="3"/>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vMerge w:val="continue"/>
            <w:shd w:val="clear" w:color="auto" w:fill="9ADAF6"/>
          </w:tcPr>
          <w:p>
            <w:pPr>
              <w:spacing w:after="0"/>
              <w:rPr>
                <w:sz w:val="9"/>
                <w:szCs w:val="9"/>
                <w:color w:val="auto"/>
              </w:rPr>
            </w:pPr>
          </w:p>
        </w:tc>
        <w:tc>
          <w:tcPr>
            <w:tcW w:w="60" w:type="dxa"/>
            <w:vAlign w:val="bottom"/>
            <w:tcBorders>
              <w:right w:val="single" w:sz="8" w:color="9ADAF6"/>
            </w:tcBorders>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560" w:type="dxa"/>
            <w:vAlign w:val="bottom"/>
            <w:shd w:val="clear" w:color="auto" w:fill="9ADAF6"/>
          </w:tcPr>
          <w:p>
            <w:pPr>
              <w:jc w:val="center"/>
              <w:spacing w:after="0" w:line="109" w:lineRule="exact"/>
              <w:rPr>
                <w:sz w:val="20"/>
                <w:szCs w:val="20"/>
                <w:color w:val="auto"/>
              </w:rPr>
            </w:pPr>
            <w:r>
              <w:rPr>
                <w:rFonts w:ascii="Arial" w:cs="Arial" w:eastAsia="Arial" w:hAnsi="Arial"/>
                <w:sz w:val="12"/>
                <w:szCs w:val="12"/>
                <w:b w:val="1"/>
                <w:bCs w:val="1"/>
                <w:color w:val="auto"/>
              </w:rPr>
              <w:t>Filing</w:t>
            </w:r>
          </w:p>
        </w:tc>
        <w:tc>
          <w:tcPr>
            <w:tcW w:w="20" w:type="dxa"/>
            <w:vAlign w:val="bottom"/>
          </w:tcPr>
          <w:p>
            <w:pPr>
              <w:spacing w:after="0"/>
              <w:rPr>
                <w:sz w:val="9"/>
                <w:szCs w:val="9"/>
                <w:color w:val="auto"/>
              </w:rPr>
            </w:pPr>
          </w:p>
        </w:tc>
        <w:tc>
          <w:tcPr>
            <w:tcW w:w="62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gridSpan w:val="3"/>
            <w:shd w:val="clear" w:color="auto" w:fill="9ADAF6"/>
          </w:tcPr>
          <w:p>
            <w:pPr>
              <w:jc w:val="center"/>
              <w:spacing w:after="0" w:line="109" w:lineRule="exact"/>
              <w:rPr>
                <w:sz w:val="20"/>
                <w:szCs w:val="20"/>
                <w:color w:val="auto"/>
              </w:rPr>
            </w:pPr>
            <w:r>
              <w:rPr>
                <w:rFonts w:ascii="Arial" w:cs="Arial" w:eastAsia="Arial" w:hAnsi="Arial"/>
                <w:sz w:val="12"/>
                <w:szCs w:val="12"/>
                <w:b w:val="1"/>
                <w:bCs w:val="1"/>
                <w:color w:val="auto"/>
              </w:rPr>
              <w:t>Offset</w:t>
            </w:r>
          </w:p>
        </w:tc>
        <w:tc>
          <w:tcPr>
            <w:tcW w:w="20" w:type="dxa"/>
            <w:vAlign w:val="bottom"/>
          </w:tcPr>
          <w:p>
            <w:pPr>
              <w:spacing w:after="0"/>
              <w:rPr>
                <w:sz w:val="9"/>
                <w:szCs w:val="9"/>
                <w:color w:val="auto"/>
              </w:rPr>
            </w:pPr>
          </w:p>
        </w:tc>
        <w:tc>
          <w:tcPr>
            <w:tcW w:w="90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gridSpan w:val="3"/>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gridSpan w:val="3"/>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60" w:type="dxa"/>
            <w:vAlign w:val="bottom"/>
            <w:gridSpan w:val="3"/>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vMerge w:val="continue"/>
            <w:shd w:val="clear" w:color="auto" w:fill="9ADAF6"/>
          </w:tcPr>
          <w:p>
            <w:pPr>
              <w:spacing w:after="0"/>
              <w:rPr>
                <w:sz w:val="9"/>
                <w:szCs w:val="9"/>
                <w:color w:val="auto"/>
              </w:rPr>
            </w:pPr>
          </w:p>
        </w:tc>
        <w:tc>
          <w:tcPr>
            <w:tcW w:w="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2"/>
        </w:trPr>
        <w:tc>
          <w:tcPr>
            <w:tcW w:w="40" w:type="dxa"/>
            <w:vAlign w:val="bottom"/>
            <w:tcBorders>
              <w:left w:val="single" w:sz="8" w:color="auto"/>
            </w:tcBorders>
          </w:tcPr>
          <w:p>
            <w:pPr>
              <w:spacing w:after="0"/>
              <w:rPr>
                <w:sz w:val="21"/>
                <w:szCs w:val="21"/>
                <w:color w:val="auto"/>
              </w:rPr>
            </w:pPr>
          </w:p>
        </w:tc>
        <w:tc>
          <w:tcPr>
            <w:tcW w:w="440" w:type="dxa"/>
            <w:vAlign w:val="bottom"/>
            <w:shd w:val="clear" w:color="auto" w:fill="9ADAF6"/>
          </w:tcPr>
          <w:p>
            <w:pPr>
              <w:spacing w:after="0"/>
              <w:rPr>
                <w:sz w:val="21"/>
                <w:szCs w:val="21"/>
                <w:color w:val="auto"/>
              </w:rPr>
            </w:pPr>
          </w:p>
        </w:tc>
        <w:tc>
          <w:tcPr>
            <w:tcW w:w="20" w:type="dxa"/>
            <w:vAlign w:val="bottom"/>
            <w:shd w:val="clear" w:color="auto" w:fill="9ADAF6"/>
          </w:tcPr>
          <w:p>
            <w:pPr>
              <w:spacing w:after="0"/>
              <w:rPr>
                <w:sz w:val="21"/>
                <w:szCs w:val="21"/>
                <w:color w:val="auto"/>
              </w:rPr>
            </w:pPr>
          </w:p>
        </w:tc>
        <w:tc>
          <w:tcPr>
            <w:tcW w:w="54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shd w:val="clear" w:color="auto" w:fill="9ADAF6"/>
          </w:tcPr>
          <w:p>
            <w:pPr>
              <w:spacing w:after="0"/>
              <w:rPr>
                <w:sz w:val="21"/>
                <w:szCs w:val="21"/>
                <w:color w:val="auto"/>
              </w:rPr>
            </w:pPr>
          </w:p>
        </w:tc>
        <w:tc>
          <w:tcPr>
            <w:tcW w:w="20" w:type="dxa"/>
            <w:vAlign w:val="bottom"/>
            <w:shd w:val="clear" w:color="auto" w:fill="9ADAF6"/>
          </w:tcPr>
          <w:p>
            <w:pPr>
              <w:spacing w:after="0"/>
              <w:rPr>
                <w:sz w:val="21"/>
                <w:szCs w:val="21"/>
                <w:color w:val="auto"/>
              </w:rPr>
            </w:pPr>
          </w:p>
        </w:tc>
        <w:tc>
          <w:tcPr>
            <w:tcW w:w="1340" w:type="dxa"/>
            <w:vAlign w:val="bottom"/>
            <w:shd w:val="clear" w:color="auto" w:fill="9ADAF6"/>
          </w:tcPr>
          <w:p>
            <w:pPr>
              <w:jc w:val="center"/>
              <w:ind w:right="178"/>
              <w:spacing w:after="0"/>
              <w:rPr>
                <w:sz w:val="20"/>
                <w:szCs w:val="20"/>
                <w:color w:val="auto"/>
              </w:rPr>
            </w:pPr>
            <w:r>
              <w:rPr>
                <w:rFonts w:ascii="Arial" w:cs="Arial" w:eastAsia="Arial" w:hAnsi="Arial"/>
                <w:sz w:val="16"/>
                <w:szCs w:val="16"/>
                <w:b w:val="1"/>
                <w:bCs w:val="1"/>
                <w:color w:val="auto"/>
              </w:rPr>
              <w:t>Name</w:t>
            </w:r>
          </w:p>
        </w:tc>
        <w:tc>
          <w:tcPr>
            <w:tcW w:w="20" w:type="dxa"/>
            <w:vAlign w:val="bottom"/>
          </w:tcPr>
          <w:p>
            <w:pPr>
              <w:spacing w:after="0"/>
              <w:rPr>
                <w:sz w:val="21"/>
                <w:szCs w:val="21"/>
                <w:color w:val="auto"/>
              </w:rPr>
            </w:pPr>
          </w:p>
        </w:tc>
        <w:tc>
          <w:tcPr>
            <w:tcW w:w="6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Filing</w:t>
            </w:r>
          </w:p>
        </w:tc>
        <w:tc>
          <w:tcPr>
            <w:tcW w:w="20" w:type="dxa"/>
            <w:vAlign w:val="bottom"/>
          </w:tcPr>
          <w:p>
            <w:pPr>
              <w:spacing w:after="0"/>
              <w:rPr>
                <w:sz w:val="21"/>
                <w:szCs w:val="21"/>
                <w:color w:val="auto"/>
              </w:rPr>
            </w:pPr>
          </w:p>
        </w:tc>
        <w:tc>
          <w:tcPr>
            <w:tcW w:w="74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Number</w:t>
            </w:r>
          </w:p>
        </w:tc>
        <w:tc>
          <w:tcPr>
            <w:tcW w:w="60" w:type="dxa"/>
            <w:vAlign w:val="bottom"/>
            <w:tcBorders>
              <w:right w:val="single" w:sz="8" w:color="9ADAF6"/>
            </w:tcBorders>
          </w:tcPr>
          <w:p>
            <w:pPr>
              <w:spacing w:after="0"/>
              <w:rPr>
                <w:sz w:val="21"/>
                <w:szCs w:val="21"/>
                <w:color w:val="auto"/>
              </w:rPr>
            </w:pPr>
          </w:p>
        </w:tc>
        <w:tc>
          <w:tcPr>
            <w:tcW w:w="20" w:type="dxa"/>
            <w:vAlign w:val="bottom"/>
            <w:shd w:val="clear" w:color="auto" w:fill="9ADAF6"/>
          </w:tcPr>
          <w:p>
            <w:pPr>
              <w:spacing w:after="0"/>
              <w:rPr>
                <w:sz w:val="21"/>
                <w:szCs w:val="21"/>
                <w:color w:val="auto"/>
              </w:rPr>
            </w:pPr>
          </w:p>
        </w:tc>
        <w:tc>
          <w:tcPr>
            <w:tcW w:w="5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Date</w:t>
            </w:r>
          </w:p>
        </w:tc>
        <w:tc>
          <w:tcPr>
            <w:tcW w:w="20" w:type="dxa"/>
            <w:vAlign w:val="bottom"/>
          </w:tcPr>
          <w:p>
            <w:pPr>
              <w:spacing w:after="0"/>
              <w:rPr>
                <w:sz w:val="21"/>
                <w:szCs w:val="21"/>
                <w:color w:val="auto"/>
              </w:rPr>
            </w:pPr>
          </w:p>
        </w:tc>
        <w:tc>
          <w:tcPr>
            <w:tcW w:w="6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Date</w:t>
            </w:r>
          </w:p>
        </w:tc>
        <w:tc>
          <w:tcPr>
            <w:tcW w:w="20" w:type="dxa"/>
            <w:vAlign w:val="bottom"/>
          </w:tcPr>
          <w:p>
            <w:pPr>
              <w:spacing w:after="0"/>
              <w:rPr>
                <w:sz w:val="21"/>
                <w:szCs w:val="21"/>
                <w:color w:val="auto"/>
              </w:rPr>
            </w:pPr>
          </w:p>
        </w:tc>
        <w:tc>
          <w:tcPr>
            <w:tcW w:w="68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Claimed</w:t>
            </w:r>
          </w:p>
        </w:tc>
        <w:tc>
          <w:tcPr>
            <w:tcW w:w="20" w:type="dxa"/>
            <w:vAlign w:val="bottom"/>
          </w:tcPr>
          <w:p>
            <w:pPr>
              <w:spacing w:after="0"/>
              <w:rPr>
                <w:sz w:val="21"/>
                <w:szCs w:val="21"/>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21"/>
                <w:szCs w:val="21"/>
                <w:color w:val="auto"/>
              </w:rPr>
            </w:pPr>
          </w:p>
        </w:tc>
        <w:tc>
          <w:tcPr>
            <w:tcW w:w="90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21"/>
                <w:szCs w:val="21"/>
                <w:color w:val="auto"/>
              </w:rPr>
            </w:pPr>
          </w:p>
        </w:tc>
        <w:tc>
          <w:tcPr>
            <w:tcW w:w="92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21"/>
                <w:szCs w:val="21"/>
                <w:color w:val="auto"/>
              </w:rPr>
            </w:pPr>
          </w:p>
        </w:tc>
        <w:tc>
          <w:tcPr>
            <w:tcW w:w="96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21"/>
                <w:szCs w:val="21"/>
                <w:color w:val="auto"/>
              </w:rPr>
            </w:pPr>
          </w:p>
        </w:tc>
        <w:tc>
          <w:tcPr>
            <w:tcW w:w="6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Fee</w:t>
            </w:r>
          </w:p>
        </w:tc>
        <w:tc>
          <w:tcPr>
            <w:tcW w:w="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13"/>
        </w:trPr>
        <w:tc>
          <w:tcPr>
            <w:tcW w:w="40" w:type="dxa"/>
            <w:vAlign w:val="bottom"/>
            <w:tcBorders>
              <w:left w:val="single" w:sz="8" w:color="auto"/>
            </w:tcBorders>
          </w:tcPr>
          <w:p>
            <w:pPr>
              <w:spacing w:after="0"/>
              <w:rPr>
                <w:sz w:val="9"/>
                <w:szCs w:val="9"/>
                <w:color w:val="auto"/>
              </w:rPr>
            </w:pPr>
          </w:p>
        </w:tc>
        <w:tc>
          <w:tcPr>
            <w:tcW w:w="44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5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13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shd w:val="clear" w:color="auto" w:fill="9ADAF6"/>
          </w:tcPr>
          <w:p>
            <w:pPr>
              <w:jc w:val="center"/>
              <w:spacing w:after="0" w:line="113"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9"/>
                <w:szCs w:val="9"/>
                <w:color w:val="auto"/>
              </w:rPr>
            </w:pPr>
          </w:p>
        </w:tc>
        <w:tc>
          <w:tcPr>
            <w:tcW w:w="740" w:type="dxa"/>
            <w:vAlign w:val="bottom"/>
            <w:shd w:val="clear" w:color="auto" w:fill="9ADAF6"/>
          </w:tcPr>
          <w:p>
            <w:pPr>
              <w:spacing w:after="0"/>
              <w:rPr>
                <w:sz w:val="9"/>
                <w:szCs w:val="9"/>
                <w:color w:val="auto"/>
              </w:rPr>
            </w:pPr>
          </w:p>
        </w:tc>
        <w:tc>
          <w:tcPr>
            <w:tcW w:w="60" w:type="dxa"/>
            <w:vAlign w:val="bottom"/>
            <w:tcBorders>
              <w:right w:val="single" w:sz="8" w:color="9ADAF6"/>
            </w:tcBorders>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56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3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shd w:val="clear" w:color="auto" w:fill="9ADAF6"/>
          </w:tcPr>
          <w:p>
            <w:pPr>
              <w:jc w:val="center"/>
              <w:spacing w:after="0" w:line="113"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9"/>
                <w:szCs w:val="9"/>
                <w:color w:val="auto"/>
              </w:rPr>
            </w:pPr>
          </w:p>
        </w:tc>
        <w:tc>
          <w:tcPr>
            <w:tcW w:w="900" w:type="dxa"/>
            <w:vAlign w:val="bottom"/>
            <w:gridSpan w:val="3"/>
            <w:shd w:val="clear" w:color="auto" w:fill="9ADAF6"/>
          </w:tcPr>
          <w:p>
            <w:pPr>
              <w:jc w:val="center"/>
              <w:spacing w:after="0" w:line="113"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9"/>
                <w:szCs w:val="9"/>
                <w:color w:val="auto"/>
              </w:rPr>
            </w:pPr>
          </w:p>
        </w:tc>
        <w:tc>
          <w:tcPr>
            <w:tcW w:w="920" w:type="dxa"/>
            <w:vAlign w:val="bottom"/>
            <w:gridSpan w:val="3"/>
            <w:shd w:val="clear" w:color="auto" w:fill="9ADAF6"/>
          </w:tcPr>
          <w:p>
            <w:pPr>
              <w:jc w:val="center"/>
              <w:spacing w:after="0" w:line="113"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9"/>
                <w:szCs w:val="9"/>
                <w:color w:val="auto"/>
              </w:rPr>
            </w:pPr>
          </w:p>
        </w:tc>
        <w:tc>
          <w:tcPr>
            <w:tcW w:w="960" w:type="dxa"/>
            <w:vAlign w:val="bottom"/>
            <w:gridSpan w:val="3"/>
            <w:shd w:val="clear" w:color="auto" w:fill="9ADAF6"/>
          </w:tcPr>
          <w:p>
            <w:pPr>
              <w:jc w:val="center"/>
              <w:spacing w:after="0" w:line="113" w:lineRule="exact"/>
              <w:rPr>
                <w:sz w:val="20"/>
                <w:szCs w:val="20"/>
                <w:color w:val="auto"/>
              </w:rPr>
            </w:pPr>
            <w:r>
              <w:rPr>
                <w:rFonts w:ascii="Arial" w:cs="Arial" w:eastAsia="Arial" w:hAnsi="Arial"/>
                <w:sz w:val="13"/>
                <w:szCs w:val="13"/>
                <w:b w:val="1"/>
                <w:bCs w:val="1"/>
                <w:color w:val="auto"/>
              </w:rPr>
              <w:t>with Fee</w:t>
            </w:r>
          </w:p>
        </w:tc>
        <w:tc>
          <w:tcPr>
            <w:tcW w:w="20" w:type="dxa"/>
            <w:vAlign w:val="bottom"/>
          </w:tcPr>
          <w:p>
            <w:pPr>
              <w:spacing w:after="0"/>
              <w:rPr>
                <w:sz w:val="9"/>
                <w:szCs w:val="9"/>
                <w:color w:val="auto"/>
              </w:rPr>
            </w:pPr>
          </w:p>
        </w:tc>
        <w:tc>
          <w:tcPr>
            <w:tcW w:w="660" w:type="dxa"/>
            <w:vAlign w:val="bottom"/>
            <w:shd w:val="clear" w:color="auto" w:fill="9ADAF6"/>
          </w:tcPr>
          <w:p>
            <w:pPr>
              <w:jc w:val="center"/>
              <w:spacing w:after="0" w:line="113" w:lineRule="exact"/>
              <w:rPr>
                <w:sz w:val="20"/>
                <w:szCs w:val="20"/>
                <w:color w:val="auto"/>
              </w:rPr>
            </w:pPr>
            <w:r>
              <w:rPr>
                <w:rFonts w:ascii="Arial" w:cs="Arial" w:eastAsia="Arial" w:hAnsi="Arial"/>
                <w:sz w:val="13"/>
                <w:szCs w:val="13"/>
                <w:b w:val="1"/>
                <w:bCs w:val="1"/>
                <w:color w:val="auto"/>
              </w:rPr>
              <w:t>Offset</w:t>
            </w:r>
          </w:p>
        </w:tc>
        <w:tc>
          <w:tcPr>
            <w:tcW w:w="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60" w:type="dxa"/>
            <w:vAlign w:val="bottom"/>
            <w:tcBorders>
              <w:right w:val="single" w:sz="8" w:color="9ADAF6"/>
            </w:tcBorders>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Claimed</w:t>
            </w:r>
          </w:p>
        </w:tc>
        <w:tc>
          <w:tcPr>
            <w:tcW w:w="20" w:type="dxa"/>
            <w:vAlign w:val="bottom"/>
          </w:tcPr>
          <w:p>
            <w:pPr>
              <w:spacing w:after="0"/>
              <w:rPr>
                <w:sz w:val="16"/>
                <w:szCs w:val="16"/>
                <w:color w:val="auto"/>
              </w:rPr>
            </w:pPr>
          </w:p>
        </w:tc>
        <w:tc>
          <w:tcPr>
            <w:tcW w:w="90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Claimed</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Claimed</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Source</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0" w:type="dxa"/>
            <w:vAlign w:val="bottom"/>
            <w:tcBorders>
              <w:left w:val="single" w:sz="8" w:color="auto"/>
            </w:tcBorders>
          </w:tcPr>
          <w:p>
            <w:pPr>
              <w:spacing w:after="0"/>
              <w:rPr>
                <w:sz w:val="18"/>
                <w:szCs w:val="18"/>
                <w:color w:val="auto"/>
              </w:rPr>
            </w:pPr>
          </w:p>
        </w:tc>
        <w:tc>
          <w:tcPr>
            <w:tcW w:w="44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5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13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9ADAF6"/>
          </w:tcPr>
          <w:p>
            <w:pPr>
              <w:spacing w:after="0"/>
              <w:rPr>
                <w:sz w:val="18"/>
                <w:szCs w:val="18"/>
                <w:color w:val="auto"/>
              </w:rPr>
            </w:pPr>
          </w:p>
        </w:tc>
        <w:tc>
          <w:tcPr>
            <w:tcW w:w="60" w:type="dxa"/>
            <w:vAlign w:val="bottom"/>
            <w:tcBorders>
              <w:right w:val="single" w:sz="8" w:color="9ADAF6"/>
            </w:tcBorders>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5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3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1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3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Claimed</w:t>
            </w:r>
          </w:p>
        </w:tc>
        <w:tc>
          <w:tcPr>
            <w:tcW w:w="20" w:type="dxa"/>
            <w:vAlign w:val="bottom"/>
          </w:tcPr>
          <w:p>
            <w:pPr>
              <w:spacing w:after="0"/>
              <w:rPr>
                <w:sz w:val="18"/>
                <w:szCs w:val="18"/>
                <w:color w:val="auto"/>
              </w:rPr>
            </w:pPr>
          </w:p>
        </w:tc>
        <w:tc>
          <w:tcPr>
            <w:tcW w:w="660" w:type="dxa"/>
            <w:vAlign w:val="bottom"/>
            <w:shd w:val="clear" w:color="auto" w:fill="9ADAF6"/>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4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20" w:type="dxa"/>
            <w:vAlign w:val="bottom"/>
            <w:gridSpan w:val="10"/>
          </w:tcPr>
          <w:p>
            <w:pPr>
              <w:ind w:left="520"/>
              <w:spacing w:after="0"/>
              <w:rPr>
                <w:sz w:val="20"/>
                <w:szCs w:val="20"/>
                <w:color w:val="auto"/>
              </w:rPr>
            </w:pPr>
            <w:r>
              <w:rPr>
                <w:rFonts w:ascii="Arial" w:cs="Arial" w:eastAsia="Arial" w:hAnsi="Arial"/>
                <w:sz w:val="16"/>
                <w:szCs w:val="16"/>
                <w:b w:val="1"/>
                <w:bCs w:val="1"/>
                <w:color w:val="auto"/>
              </w:rPr>
              <w:t>Rules 457(b) and 0-11(a)(2)</w:t>
            </w: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6"/>
                <w:szCs w:val="16"/>
                <w:color w:val="auto"/>
              </w:rPr>
              <w:t>Fee Offset</w:t>
            </w: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3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60" w:type="dxa"/>
            <w:vAlign w:val="bottom"/>
            <w:tcBorders>
              <w:right w:val="single" w:sz="8" w:color="E7E7E2"/>
            </w:tcBorders>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5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0" w:type="dxa"/>
            <w:vAlign w:val="bottom"/>
            <w:tcBorders>
              <w:left w:val="single" w:sz="8" w:color="auto"/>
            </w:tcBorders>
          </w:tcPr>
          <w:p>
            <w:pPr>
              <w:spacing w:after="0"/>
              <w:rPr>
                <w:sz w:val="18"/>
                <w:szCs w:val="18"/>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6"/>
                <w:szCs w:val="16"/>
                <w:color w:val="auto"/>
              </w:rPr>
              <w:t>Claims</w:t>
            </w: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3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60" w:type="dxa"/>
            <w:vAlign w:val="bottom"/>
            <w:tcBorders>
              <w:right w:val="single" w:sz="8" w:color="E7E7E2"/>
            </w:tcBorders>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5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0" w:type="dxa"/>
            <w:vAlign w:val="bottom"/>
            <w:tcBorders>
              <w:left w:val="single" w:sz="8" w:color="auto"/>
            </w:tcBorders>
          </w:tcPr>
          <w:p>
            <w:pPr>
              <w:spacing w:after="0"/>
              <w:rPr>
                <w:sz w:val="15"/>
                <w:szCs w:val="15"/>
                <w:color w:val="auto"/>
              </w:rPr>
            </w:pPr>
          </w:p>
        </w:tc>
        <w:tc>
          <w:tcPr>
            <w:tcW w:w="1000" w:type="dxa"/>
            <w:vAlign w:val="bottom"/>
            <w:gridSpan w:val="3"/>
            <w:shd w:val="clear" w:color="auto" w:fill="E7E7E2"/>
          </w:tcPr>
          <w:p>
            <w:pPr>
              <w:spacing w:after="0" w:line="175" w:lineRule="exact"/>
              <w:rPr>
                <w:sz w:val="20"/>
                <w:szCs w:val="20"/>
                <w:color w:val="auto"/>
              </w:rPr>
            </w:pPr>
            <w:r>
              <w:rPr>
                <w:rFonts w:ascii="Arial" w:cs="Arial" w:eastAsia="Arial" w:hAnsi="Arial"/>
                <w:sz w:val="16"/>
                <w:szCs w:val="16"/>
                <w:color w:val="auto"/>
              </w:rPr>
              <w:t>Fee Offset</w:t>
            </w:r>
          </w:p>
        </w:tc>
        <w:tc>
          <w:tcPr>
            <w:tcW w:w="20" w:type="dxa"/>
            <w:vAlign w:val="bottom"/>
            <w:vMerge w:val="continue"/>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2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3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60" w:type="dxa"/>
            <w:vAlign w:val="bottom"/>
            <w:tcBorders>
              <w:right w:val="single" w:sz="8" w:color="E7E7E2"/>
            </w:tcBorders>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0" w:type="dxa"/>
            <w:vAlign w:val="bottom"/>
            <w:tcBorders>
              <w:left w:val="single" w:sz="8" w:color="auto"/>
            </w:tcBorders>
          </w:tcPr>
          <w:p>
            <w:pPr>
              <w:spacing w:after="0"/>
              <w:rPr>
                <w:sz w:val="18"/>
                <w:szCs w:val="18"/>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6"/>
                <w:szCs w:val="16"/>
                <w:color w:val="auto"/>
              </w:rPr>
              <w:t>Sources</w:t>
            </w: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3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60" w:type="dxa"/>
            <w:vAlign w:val="bottom"/>
            <w:tcBorders>
              <w:right w:val="single" w:sz="8" w:color="E7E7E2"/>
            </w:tcBorders>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5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4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gridSpan w:val="4"/>
          </w:tcPr>
          <w:p>
            <w:pPr>
              <w:ind w:left="300"/>
              <w:spacing w:after="0"/>
              <w:rPr>
                <w:sz w:val="20"/>
                <w:szCs w:val="20"/>
                <w:color w:val="auto"/>
              </w:rPr>
            </w:pPr>
            <w:r>
              <w:rPr>
                <w:rFonts w:ascii="Arial" w:cs="Arial" w:eastAsia="Arial" w:hAnsi="Arial"/>
                <w:sz w:val="16"/>
                <w:szCs w:val="16"/>
                <w:b w:val="1"/>
                <w:bCs w:val="1"/>
                <w:color w:val="auto"/>
              </w:rPr>
              <w:t>Rule 457(p)</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6"/>
                <w:szCs w:val="16"/>
                <w:color w:val="auto"/>
              </w:rPr>
              <w:t>Fee Offset</w:t>
            </w: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3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60" w:type="dxa"/>
            <w:vAlign w:val="bottom"/>
            <w:tcBorders>
              <w:right w:val="single" w:sz="8" w:color="E7E7E2"/>
            </w:tcBorders>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5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0" w:type="dxa"/>
            <w:vAlign w:val="bottom"/>
            <w:tcBorders>
              <w:left w:val="single" w:sz="8" w:color="auto"/>
            </w:tcBorders>
          </w:tcPr>
          <w:p>
            <w:pPr>
              <w:spacing w:after="0"/>
              <w:rPr>
                <w:sz w:val="18"/>
                <w:szCs w:val="18"/>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6"/>
                <w:szCs w:val="16"/>
                <w:color w:val="auto"/>
              </w:rPr>
              <w:t>Claims</w:t>
            </w: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3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60" w:type="dxa"/>
            <w:vAlign w:val="bottom"/>
            <w:tcBorders>
              <w:right w:val="single" w:sz="8" w:color="E7E7E2"/>
            </w:tcBorders>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5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0" w:type="dxa"/>
            <w:vAlign w:val="bottom"/>
            <w:tcBorders>
              <w:left w:val="single" w:sz="8" w:color="auto"/>
            </w:tcBorders>
          </w:tcPr>
          <w:p>
            <w:pPr>
              <w:spacing w:after="0"/>
              <w:rPr>
                <w:sz w:val="15"/>
                <w:szCs w:val="15"/>
                <w:color w:val="auto"/>
              </w:rPr>
            </w:pPr>
          </w:p>
        </w:tc>
        <w:tc>
          <w:tcPr>
            <w:tcW w:w="1000" w:type="dxa"/>
            <w:vAlign w:val="bottom"/>
            <w:gridSpan w:val="3"/>
            <w:shd w:val="clear" w:color="auto" w:fill="E7E7E2"/>
          </w:tcPr>
          <w:p>
            <w:pPr>
              <w:spacing w:after="0" w:line="175" w:lineRule="exact"/>
              <w:rPr>
                <w:sz w:val="20"/>
                <w:szCs w:val="20"/>
                <w:color w:val="auto"/>
              </w:rPr>
            </w:pPr>
            <w:r>
              <w:rPr>
                <w:rFonts w:ascii="Arial" w:cs="Arial" w:eastAsia="Arial" w:hAnsi="Arial"/>
                <w:sz w:val="16"/>
                <w:szCs w:val="16"/>
                <w:color w:val="auto"/>
              </w:rPr>
              <w:t>Fee Offset</w:t>
            </w:r>
          </w:p>
        </w:tc>
        <w:tc>
          <w:tcPr>
            <w:tcW w:w="20" w:type="dxa"/>
            <w:vAlign w:val="bottom"/>
            <w:vMerge w:val="continue"/>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2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3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60" w:type="dxa"/>
            <w:vAlign w:val="bottom"/>
            <w:tcBorders>
              <w:right w:val="single" w:sz="8" w:color="E7E7E2"/>
            </w:tcBorders>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0" w:type="dxa"/>
            <w:vAlign w:val="bottom"/>
            <w:tcBorders>
              <w:left w:val="single" w:sz="8" w:color="auto"/>
            </w:tcBorders>
          </w:tcPr>
          <w:p>
            <w:pPr>
              <w:spacing w:after="0"/>
              <w:rPr>
                <w:sz w:val="18"/>
                <w:szCs w:val="18"/>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6"/>
                <w:szCs w:val="16"/>
                <w:color w:val="auto"/>
              </w:rPr>
              <w:t>Sources</w:t>
            </w: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3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60" w:type="dxa"/>
            <w:vAlign w:val="bottom"/>
            <w:tcBorders>
              <w:right w:val="single" w:sz="8" w:color="E7E7E2"/>
            </w:tcBorders>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5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0"/>
        </w:trPr>
        <w:tc>
          <w:tcPr>
            <w:tcW w:w="4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9"/>
          </w:tcPr>
          <w:p>
            <w:pPr>
              <w:spacing w:after="0"/>
              <w:rPr>
                <w:sz w:val="20"/>
                <w:szCs w:val="20"/>
                <w:color w:val="auto"/>
              </w:rPr>
            </w:pPr>
            <w:r>
              <w:rPr>
                <w:rFonts w:ascii="Arial" w:cs="Arial" w:eastAsia="Arial" w:hAnsi="Arial"/>
                <w:sz w:val="16"/>
                <w:szCs w:val="16"/>
                <w:b w:val="1"/>
                <w:bCs w:val="1"/>
                <w:color w:val="auto"/>
              </w:rPr>
              <w:t>Table 3: Combined Prospectuses</w:t>
            </w: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ind w:left="360"/>
              <w:spacing w:after="0" w:line="184" w:lineRule="exact"/>
              <w:rPr>
                <w:sz w:val="20"/>
                <w:szCs w:val="20"/>
                <w:color w:val="auto"/>
              </w:rPr>
            </w:pPr>
            <w:r>
              <w:rPr>
                <w:rFonts w:ascii="MS PGothic" w:cs="MS PGothic" w:eastAsia="MS PGothic" w:hAnsi="MS PGothic"/>
                <w:sz w:val="16"/>
                <w:szCs w:val="16"/>
                <w:color w:val="auto"/>
                <w:highlight w:val="black"/>
              </w:rPr>
              <w:t>☑</w:t>
            </w:r>
            <w:r>
              <w:rPr>
                <w:rFonts w:ascii="Arial" w:cs="Arial" w:eastAsia="Arial" w:hAnsi="Arial"/>
                <w:sz w:val="16"/>
                <w:szCs w:val="16"/>
                <w:b w:val="1"/>
                <w:bCs w:val="1"/>
                <w:color w:val="auto"/>
              </w:rPr>
              <w:t>Not Applicable</w:t>
            </w: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60" w:type="dxa"/>
            <w:vAlign w:val="bottom"/>
            <w:tcBorders>
              <w:righ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gridSpan w:val="4"/>
            <w:shd w:val="clear" w:color="auto" w:fill="9ADAF6"/>
          </w:tcPr>
          <w:p>
            <w:pPr>
              <w:ind w:left="360"/>
              <w:spacing w:after="0"/>
              <w:rPr>
                <w:sz w:val="20"/>
                <w:szCs w:val="20"/>
                <w:color w:val="auto"/>
              </w:rPr>
            </w:pPr>
            <w:r>
              <w:rPr>
                <w:rFonts w:ascii="Arial" w:cs="Arial" w:eastAsia="Arial" w:hAnsi="Arial"/>
                <w:sz w:val="16"/>
                <w:szCs w:val="16"/>
                <w:b w:val="1"/>
                <w:bCs w:val="1"/>
                <w:color w:val="auto"/>
              </w:rPr>
              <w:t>Amount of</w:t>
            </w:r>
          </w:p>
        </w:tc>
        <w:tc>
          <w:tcPr>
            <w:tcW w:w="3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20" w:type="dxa"/>
            <w:vAlign w:val="bottom"/>
            <w:gridSpan w:val="5"/>
            <w:shd w:val="clear" w:color="auto" w:fill="9ADAF6"/>
          </w:tcPr>
          <w:p>
            <w:pPr>
              <w:jc w:val="center"/>
              <w:spacing w:after="0"/>
              <w:rPr>
                <w:sz w:val="20"/>
                <w:szCs w:val="20"/>
                <w:color w:val="auto"/>
              </w:rPr>
            </w:pPr>
            <w:r>
              <w:rPr>
                <w:rFonts w:ascii="Arial" w:cs="Arial" w:eastAsia="Arial" w:hAnsi="Arial"/>
                <w:sz w:val="16"/>
                <w:szCs w:val="16"/>
                <w:b w:val="1"/>
                <w:bCs w:val="1"/>
                <w:color w:val="auto"/>
              </w:rPr>
              <w:t>Maximum Aggregate</w:t>
            </w: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60" w:type="dxa"/>
            <w:vAlign w:val="bottom"/>
            <w:vMerge w:val="restart"/>
            <w:shd w:val="clear" w:color="auto" w:fill="9ADAF6"/>
          </w:tcPr>
          <w:p>
            <w:pPr>
              <w:jc w:val="center"/>
              <w:ind w:right="139"/>
              <w:spacing w:after="0"/>
              <w:rPr>
                <w:sz w:val="20"/>
                <w:szCs w:val="20"/>
                <w:color w:val="auto"/>
              </w:rPr>
            </w:pPr>
            <w:r>
              <w:rPr>
                <w:rFonts w:ascii="Arial" w:cs="Arial" w:eastAsia="Arial" w:hAnsi="Arial"/>
                <w:sz w:val="16"/>
                <w:szCs w:val="16"/>
                <w:b w:val="1"/>
                <w:bCs w:val="1"/>
                <w:color w:val="auto"/>
              </w:rPr>
              <w:t>Initial</w:t>
            </w:r>
          </w:p>
        </w:tc>
        <w:tc>
          <w:tcPr>
            <w:tcW w:w="60" w:type="dxa"/>
            <w:vAlign w:val="bottom"/>
            <w:tcBorders>
              <w:left w:val="single" w:sz="8" w:color="9ADAF6"/>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3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60" w:type="dxa"/>
            <w:vAlign w:val="bottom"/>
            <w:tcBorders>
              <w:righ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4"/>
            <w:vMerge w:val="restart"/>
            <w:shd w:val="clear" w:color="auto" w:fill="9ADAF6"/>
          </w:tcPr>
          <w:p>
            <w:pPr>
              <w:ind w:left="380"/>
              <w:spacing w:after="0"/>
              <w:rPr>
                <w:sz w:val="20"/>
                <w:szCs w:val="20"/>
                <w:color w:val="auto"/>
              </w:rPr>
            </w:pPr>
            <w:r>
              <w:rPr>
                <w:rFonts w:ascii="Arial" w:cs="Arial" w:eastAsia="Arial" w:hAnsi="Arial"/>
                <w:sz w:val="16"/>
                <w:szCs w:val="16"/>
                <w:b w:val="1"/>
                <w:bCs w:val="1"/>
                <w:color w:val="auto"/>
              </w:rPr>
              <w:t>Securities</w:t>
            </w: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680" w:type="dxa"/>
            <w:vAlign w:val="bottom"/>
            <w:gridSpan w:val="3"/>
            <w:vMerge w:val="restart"/>
            <w:shd w:val="clear" w:color="auto" w:fill="9ADAF6"/>
          </w:tcPr>
          <w:p>
            <w:pPr>
              <w:jc w:val="center"/>
              <w:ind w:right="260"/>
              <w:spacing w:after="0"/>
              <w:rPr>
                <w:sz w:val="20"/>
                <w:szCs w:val="20"/>
                <w:color w:val="auto"/>
              </w:rPr>
            </w:pPr>
            <w:r>
              <w:rPr>
                <w:rFonts w:ascii="Arial" w:cs="Arial" w:eastAsia="Arial" w:hAnsi="Arial"/>
                <w:sz w:val="16"/>
                <w:szCs w:val="16"/>
                <w:b w:val="1"/>
                <w:bCs w:val="1"/>
                <w:color w:val="auto"/>
              </w:rPr>
              <w:t>Offering Price of</w:t>
            </w: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560" w:type="dxa"/>
            <w:vAlign w:val="bottom"/>
            <w:gridSpan w:val="2"/>
            <w:vMerge w:val="restart"/>
            <w:shd w:val="clear" w:color="auto" w:fill="9ADAF6"/>
          </w:tcPr>
          <w:p>
            <w:pPr>
              <w:ind w:left="20"/>
              <w:spacing w:after="0"/>
              <w:rPr>
                <w:sz w:val="20"/>
                <w:szCs w:val="20"/>
                <w:color w:val="auto"/>
              </w:rPr>
            </w:pPr>
            <w:r>
              <w:rPr>
                <w:rFonts w:ascii="Arial" w:cs="Arial" w:eastAsia="Arial" w:hAnsi="Arial"/>
                <w:sz w:val="16"/>
                <w:szCs w:val="16"/>
                <w:b w:val="1"/>
                <w:bCs w:val="1"/>
                <w:color w:val="auto"/>
              </w:rPr>
              <w:t>Form</w:t>
            </w:r>
          </w:p>
        </w:tc>
        <w:tc>
          <w:tcPr>
            <w:tcW w:w="20" w:type="dxa"/>
            <w:vAlign w:val="bottom"/>
          </w:tcPr>
          <w:p>
            <w:pPr>
              <w:spacing w:after="0"/>
              <w:rPr>
                <w:sz w:val="8"/>
                <w:szCs w:val="8"/>
                <w:color w:val="auto"/>
              </w:rPr>
            </w:pPr>
          </w:p>
        </w:tc>
        <w:tc>
          <w:tcPr>
            <w:tcW w:w="3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60" w:type="dxa"/>
            <w:vAlign w:val="bottom"/>
            <w:vMerge w:val="continue"/>
            <w:shd w:val="clear" w:color="auto" w:fill="9ADAF6"/>
          </w:tcPr>
          <w:p>
            <w:pPr>
              <w:spacing w:after="0"/>
              <w:rPr>
                <w:sz w:val="8"/>
                <w:szCs w:val="8"/>
                <w:color w:val="auto"/>
              </w:rPr>
            </w:pPr>
          </w:p>
        </w:tc>
        <w:tc>
          <w:tcPr>
            <w:tcW w:w="60" w:type="dxa"/>
            <w:vAlign w:val="bottom"/>
            <w:tcBorders>
              <w:left w:val="single" w:sz="8" w:color="9ADAF6"/>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320" w:type="dxa"/>
            <w:vAlign w:val="bottom"/>
            <w:gridSpan w:val="4"/>
            <w:vMerge w:val="restart"/>
            <w:shd w:val="clear" w:color="auto" w:fill="9ADAF6"/>
          </w:tcPr>
          <w:p>
            <w:pPr>
              <w:ind w:left="240"/>
              <w:spacing w:after="0"/>
              <w:rPr>
                <w:sz w:val="20"/>
                <w:szCs w:val="20"/>
                <w:color w:val="auto"/>
              </w:rPr>
            </w:pPr>
            <w:r>
              <w:rPr>
                <w:rFonts w:ascii="Arial" w:cs="Arial" w:eastAsia="Arial" w:hAnsi="Arial"/>
                <w:sz w:val="16"/>
                <w:szCs w:val="16"/>
                <w:b w:val="1"/>
                <w:bCs w:val="1"/>
                <w:color w:val="auto"/>
              </w:rPr>
              <w:t>Security Type</w:t>
            </w:r>
          </w:p>
        </w:tc>
        <w:tc>
          <w:tcPr>
            <w:tcW w:w="2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740" w:type="dxa"/>
            <w:vAlign w:val="bottom"/>
            <w:gridSpan w:val="5"/>
            <w:vMerge w:val="restart"/>
            <w:shd w:val="clear" w:color="auto" w:fill="9ADAF6"/>
          </w:tcPr>
          <w:p>
            <w:pPr>
              <w:ind w:left="640"/>
              <w:spacing w:after="0"/>
              <w:rPr>
                <w:sz w:val="20"/>
                <w:szCs w:val="20"/>
                <w:color w:val="auto"/>
              </w:rPr>
            </w:pPr>
            <w:r>
              <w:rPr>
                <w:rFonts w:ascii="Arial" w:cs="Arial" w:eastAsia="Arial" w:hAnsi="Arial"/>
                <w:sz w:val="16"/>
                <w:szCs w:val="16"/>
                <w:b w:val="1"/>
                <w:bCs w:val="1"/>
                <w:color w:val="auto"/>
              </w:rPr>
              <w:t>Security Class Title</w:t>
            </w:r>
          </w:p>
        </w:tc>
        <w:tc>
          <w:tcPr>
            <w:tcW w:w="60" w:type="dxa"/>
            <w:vAlign w:val="bottom"/>
            <w:tcBorders>
              <w:righ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4"/>
            <w:vMerge w:val="continue"/>
            <w:shd w:val="clear" w:color="auto" w:fill="9ADAF6"/>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68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560" w:type="dxa"/>
            <w:vAlign w:val="bottom"/>
            <w:gridSpan w:val="2"/>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gridSpan w:val="3"/>
            <w:vMerge w:val="restart"/>
            <w:shd w:val="clear" w:color="auto" w:fill="9ADAF6"/>
          </w:tcPr>
          <w:p>
            <w:pPr>
              <w:ind w:left="80"/>
              <w:spacing w:after="0"/>
              <w:rPr>
                <w:sz w:val="20"/>
                <w:szCs w:val="20"/>
                <w:color w:val="auto"/>
              </w:rPr>
            </w:pPr>
            <w:r>
              <w:rPr>
                <w:rFonts w:ascii="Arial" w:cs="Arial" w:eastAsia="Arial" w:hAnsi="Arial"/>
                <w:sz w:val="16"/>
                <w:szCs w:val="16"/>
                <w:b w:val="1"/>
                <w:bCs w:val="1"/>
                <w:color w:val="auto"/>
              </w:rPr>
              <w:t>File Number</w:t>
            </w:r>
          </w:p>
        </w:tc>
        <w:tc>
          <w:tcPr>
            <w:tcW w:w="20" w:type="dxa"/>
            <w:vAlign w:val="bottom"/>
          </w:tcPr>
          <w:p>
            <w:pPr>
              <w:spacing w:after="0"/>
              <w:rPr>
                <w:sz w:val="8"/>
                <w:szCs w:val="8"/>
                <w:color w:val="auto"/>
              </w:rPr>
            </w:pPr>
          </w:p>
        </w:tc>
        <w:tc>
          <w:tcPr>
            <w:tcW w:w="900" w:type="dxa"/>
            <w:vAlign w:val="bottom"/>
            <w:gridSpan w:val="3"/>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Effective</w:t>
            </w:r>
          </w:p>
        </w:tc>
        <w:tc>
          <w:tcPr>
            <w:tcW w:w="60" w:type="dxa"/>
            <w:vAlign w:val="bottom"/>
            <w:tcBorders>
              <w:left w:val="single" w:sz="8" w:color="9ADAF6"/>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320" w:type="dxa"/>
            <w:vAlign w:val="bottom"/>
            <w:gridSpan w:val="4"/>
            <w:vMerge w:val="continue"/>
            <w:shd w:val="clear" w:color="auto" w:fill="9ADAF6"/>
          </w:tcPr>
          <w:p>
            <w:pPr>
              <w:spacing w:after="0"/>
              <w:rPr>
                <w:sz w:val="8"/>
                <w:szCs w:val="8"/>
                <w:color w:val="auto"/>
              </w:rPr>
            </w:pPr>
          </w:p>
        </w:tc>
        <w:tc>
          <w:tcPr>
            <w:tcW w:w="2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740" w:type="dxa"/>
            <w:vAlign w:val="bottom"/>
            <w:gridSpan w:val="5"/>
            <w:vMerge w:val="continue"/>
            <w:shd w:val="clear" w:color="auto" w:fill="9ADAF6"/>
          </w:tcPr>
          <w:p>
            <w:pPr>
              <w:spacing w:after="0"/>
              <w:rPr>
                <w:sz w:val="8"/>
                <w:szCs w:val="8"/>
                <w:color w:val="auto"/>
              </w:rPr>
            </w:pPr>
          </w:p>
        </w:tc>
        <w:tc>
          <w:tcPr>
            <w:tcW w:w="60" w:type="dxa"/>
            <w:vAlign w:val="bottom"/>
            <w:tcBorders>
              <w:righ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4"/>
            <w:vMerge w:val="restart"/>
            <w:shd w:val="clear" w:color="auto" w:fill="9ADAF6"/>
          </w:tcPr>
          <w:p>
            <w:pPr>
              <w:ind w:left="360"/>
              <w:spacing w:after="0"/>
              <w:rPr>
                <w:sz w:val="20"/>
                <w:szCs w:val="20"/>
                <w:color w:val="auto"/>
              </w:rPr>
            </w:pPr>
            <w:r>
              <w:rPr>
                <w:rFonts w:ascii="Arial" w:cs="Arial" w:eastAsia="Arial" w:hAnsi="Arial"/>
                <w:sz w:val="16"/>
                <w:szCs w:val="16"/>
                <w:b w:val="1"/>
                <w:bCs w:val="1"/>
                <w:color w:val="auto"/>
              </w:rPr>
              <w:t>Previously</w:t>
            </w: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gridSpan w:val="5"/>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Securities Previously</w:t>
            </w: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40" w:type="dxa"/>
            <w:vAlign w:val="bottom"/>
            <w:vMerge w:val="restart"/>
            <w:shd w:val="clear" w:color="auto" w:fill="9ADAF6"/>
          </w:tcPr>
          <w:p>
            <w:pPr>
              <w:ind w:left="20"/>
              <w:spacing w:after="0"/>
              <w:rPr>
                <w:sz w:val="20"/>
                <w:szCs w:val="20"/>
                <w:color w:val="auto"/>
              </w:rPr>
            </w:pPr>
            <w:r>
              <w:rPr>
                <w:rFonts w:ascii="Arial" w:cs="Arial" w:eastAsia="Arial" w:hAnsi="Arial"/>
                <w:sz w:val="16"/>
                <w:szCs w:val="16"/>
                <w:b w:val="1"/>
                <w:bCs w:val="1"/>
                <w:color w:val="auto"/>
              </w:rPr>
              <w:t>Type</w:t>
            </w:r>
          </w:p>
        </w:tc>
        <w:tc>
          <w:tcPr>
            <w:tcW w:w="20" w:type="dxa"/>
            <w:vAlign w:val="bottom"/>
          </w:tcPr>
          <w:p>
            <w:pPr>
              <w:spacing w:after="0"/>
              <w:rPr>
                <w:sz w:val="8"/>
                <w:szCs w:val="8"/>
                <w:color w:val="auto"/>
              </w:rPr>
            </w:pPr>
          </w:p>
        </w:tc>
        <w:tc>
          <w:tcPr>
            <w:tcW w:w="110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gridSpan w:val="3"/>
            <w:vMerge w:val="continue"/>
            <w:shd w:val="clear" w:color="auto" w:fill="9ADAF6"/>
          </w:tcPr>
          <w:p>
            <w:pPr>
              <w:spacing w:after="0"/>
              <w:rPr>
                <w:sz w:val="8"/>
                <w:szCs w:val="8"/>
                <w:color w:val="auto"/>
              </w:rPr>
            </w:pPr>
          </w:p>
        </w:tc>
        <w:tc>
          <w:tcPr>
            <w:tcW w:w="60" w:type="dxa"/>
            <w:vAlign w:val="bottom"/>
            <w:tcBorders>
              <w:left w:val="single" w:sz="8" w:color="9ADAF6"/>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3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60" w:type="dxa"/>
            <w:vAlign w:val="bottom"/>
            <w:tcBorders>
              <w:righ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4"/>
            <w:vMerge w:val="continue"/>
            <w:shd w:val="clear" w:color="auto" w:fill="9ADAF6"/>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4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60" w:type="dxa"/>
            <w:vAlign w:val="bottom"/>
            <w:vMerge w:val="restart"/>
            <w:shd w:val="clear" w:color="auto" w:fill="9ADAF6"/>
          </w:tcPr>
          <w:p>
            <w:pPr>
              <w:jc w:val="center"/>
              <w:ind w:right="139"/>
              <w:spacing w:after="0"/>
              <w:rPr>
                <w:sz w:val="20"/>
                <w:szCs w:val="20"/>
                <w:color w:val="auto"/>
              </w:rPr>
            </w:pPr>
            <w:r>
              <w:rPr>
                <w:rFonts w:ascii="Arial" w:cs="Arial" w:eastAsia="Arial" w:hAnsi="Arial"/>
                <w:sz w:val="16"/>
                <w:szCs w:val="16"/>
                <w:b w:val="1"/>
                <w:bCs w:val="1"/>
                <w:color w:val="auto"/>
              </w:rPr>
              <w:t>Date</w:t>
            </w:r>
          </w:p>
        </w:tc>
        <w:tc>
          <w:tcPr>
            <w:tcW w:w="60" w:type="dxa"/>
            <w:vAlign w:val="bottom"/>
            <w:tcBorders>
              <w:left w:val="single" w:sz="8" w:color="9ADAF6"/>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40" w:type="dxa"/>
            <w:vAlign w:val="bottom"/>
            <w:tcBorders>
              <w:left w:val="single" w:sz="8" w:color="auto"/>
            </w:tcBorders>
          </w:tcPr>
          <w:p>
            <w:pPr>
              <w:spacing w:after="0"/>
              <w:rPr>
                <w:sz w:val="11"/>
                <w:szCs w:val="11"/>
                <w:color w:val="auto"/>
              </w:rPr>
            </w:pPr>
          </w:p>
        </w:tc>
        <w:tc>
          <w:tcPr>
            <w:tcW w:w="4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2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3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60" w:type="dxa"/>
            <w:vAlign w:val="bottom"/>
            <w:tcBorders>
              <w:right w:val="single" w:sz="8" w:color="9ADAF6"/>
            </w:tcBorders>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4"/>
            <w:vMerge w:val="restart"/>
            <w:shd w:val="clear" w:color="auto" w:fill="9ADAF6"/>
          </w:tcPr>
          <w:p>
            <w:pPr>
              <w:ind w:left="360"/>
              <w:spacing w:after="0"/>
              <w:rPr>
                <w:sz w:val="20"/>
                <w:szCs w:val="20"/>
                <w:color w:val="auto"/>
              </w:rPr>
            </w:pPr>
            <w:r>
              <w:rPr>
                <w:rFonts w:ascii="Arial" w:cs="Arial" w:eastAsia="Arial" w:hAnsi="Arial"/>
                <w:sz w:val="16"/>
                <w:szCs w:val="16"/>
                <w:b w:val="1"/>
                <w:bCs w:val="1"/>
                <w:color w:val="auto"/>
              </w:rPr>
              <w:t>Registered</w:t>
            </w:r>
          </w:p>
        </w:tc>
        <w:tc>
          <w:tcPr>
            <w:tcW w:w="3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680" w:type="dxa"/>
            <w:vAlign w:val="bottom"/>
            <w:gridSpan w:val="3"/>
            <w:vMerge w:val="restart"/>
            <w:shd w:val="clear" w:color="auto" w:fill="9ADAF6"/>
          </w:tcPr>
          <w:p>
            <w:pPr>
              <w:jc w:val="center"/>
              <w:ind w:right="260"/>
              <w:spacing w:after="0"/>
              <w:rPr>
                <w:sz w:val="20"/>
                <w:szCs w:val="20"/>
                <w:color w:val="auto"/>
              </w:rPr>
            </w:pPr>
            <w:r>
              <w:rPr>
                <w:rFonts w:ascii="Arial" w:cs="Arial" w:eastAsia="Arial" w:hAnsi="Arial"/>
                <w:sz w:val="16"/>
                <w:szCs w:val="16"/>
                <w:b w:val="1"/>
                <w:bCs w:val="1"/>
                <w:color w:val="auto"/>
              </w:rPr>
              <w:t>Registered</w:t>
            </w:r>
          </w:p>
        </w:tc>
        <w:tc>
          <w:tcPr>
            <w:tcW w:w="20" w:type="dxa"/>
            <w:vAlign w:val="bottom"/>
          </w:tcPr>
          <w:p>
            <w:pPr>
              <w:spacing w:after="0"/>
              <w:rPr>
                <w:sz w:val="11"/>
                <w:szCs w:val="11"/>
                <w:color w:val="auto"/>
              </w:rPr>
            </w:pPr>
          </w:p>
        </w:tc>
        <w:tc>
          <w:tcPr>
            <w:tcW w:w="1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5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60" w:type="dxa"/>
            <w:vAlign w:val="bottom"/>
            <w:vMerge w:val="continue"/>
            <w:shd w:val="clear" w:color="auto" w:fill="9ADAF6"/>
          </w:tcPr>
          <w:p>
            <w:pPr>
              <w:spacing w:after="0"/>
              <w:rPr>
                <w:sz w:val="11"/>
                <w:szCs w:val="11"/>
                <w:color w:val="auto"/>
              </w:rPr>
            </w:pPr>
          </w:p>
        </w:tc>
        <w:tc>
          <w:tcPr>
            <w:tcW w:w="60" w:type="dxa"/>
            <w:vAlign w:val="bottom"/>
            <w:tcBorders>
              <w:left w:val="single" w:sz="8" w:color="9ADAF6"/>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3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60" w:type="dxa"/>
            <w:vAlign w:val="bottom"/>
            <w:tcBorders>
              <w:right w:val="single" w:sz="8" w:color="9ADAF6"/>
            </w:tcBorders>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20" w:type="dxa"/>
            <w:vAlign w:val="bottom"/>
            <w:gridSpan w:val="4"/>
            <w:vMerge w:val="continue"/>
            <w:shd w:val="clear" w:color="auto" w:fill="9ADAF6"/>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68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5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60" w:type="dxa"/>
            <w:vAlign w:val="bottom"/>
            <w:shd w:val="clear" w:color="auto" w:fill="9ADAF6"/>
          </w:tcPr>
          <w:p>
            <w:pPr>
              <w:spacing w:after="0"/>
              <w:rPr>
                <w:sz w:val="7"/>
                <w:szCs w:val="7"/>
                <w:color w:val="auto"/>
              </w:rPr>
            </w:pPr>
          </w:p>
        </w:tc>
        <w:tc>
          <w:tcPr>
            <w:tcW w:w="60" w:type="dxa"/>
            <w:vAlign w:val="bottom"/>
            <w:tcBorders>
              <w:left w:val="single" w:sz="8" w:color="9ADAF6"/>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2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40" w:type="dxa"/>
            <w:vAlign w:val="bottom"/>
            <w:tcBorders>
              <w:bottom w:val="single" w:sz="8" w:color="E7E7E2"/>
            </w:tcBorders>
          </w:tcPr>
          <w:p>
            <w:pPr>
              <w:spacing w:after="0" w:line="20" w:lineRule="exact"/>
              <w:rPr>
                <w:sz w:val="1"/>
                <w:szCs w:val="1"/>
                <w:color w:val="auto"/>
              </w:rPr>
            </w:pPr>
          </w:p>
        </w:tc>
        <w:tc>
          <w:tcPr>
            <w:tcW w:w="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3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9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5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60" w:type="dxa"/>
            <w:vAlign w:val="bottom"/>
            <w:tcBorders>
              <w:bottom w:val="single" w:sz="8" w:color="E7E7E2"/>
            </w:tcBorders>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360"/>
      </w:cols>
      <w:pgMar w:left="300" w:top="1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1)"/>
      <w:numFmt w:val="lowerRoman"/>
      <w:start w:val="1"/>
    </w:lvl>
  </w:abstractNum>
  <w:abstractNum w:abstractNumId="4">
    <w:nsid w:val="8138641"/>
    <w:multiLevelType w:val="hybridMultilevel"/>
    <w:lvl w:ilvl="0">
      <w:lvlJc w:val="left"/>
      <w:lvlText w:val="·"/>
      <w:numFmt w:val="bullet"/>
      <w:start w:val="1"/>
    </w:lvl>
  </w:abstractNum>
  <w:abstractNum w:abstractNumId="5">
    <w:nsid w:val="1E7FF521"/>
    <w:multiLevelType w:val="hybridMultilevel"/>
    <w:lvl w:ilvl="0">
      <w:lvlJc w:val="left"/>
      <w:lvlText w:val="·"/>
      <w:numFmt w:val="bullet"/>
      <w:start w:val="1"/>
    </w:lvl>
  </w:abstractNum>
  <w:abstractNum w:abstractNumId="6">
    <w:nsid w:val="7C3DBD3D"/>
    <w:multiLevelType w:val="hybridMultilevel"/>
    <w:lvl w:ilvl="0">
      <w:lvlJc w:val="left"/>
      <w:lvlText w:val="·"/>
      <w:numFmt w:val="bullet"/>
      <w:start w:val="1"/>
    </w:lvl>
  </w:abstractNum>
  <w:abstractNum w:abstractNumId="7">
    <w:nsid w:val="737B8DDC"/>
    <w:multiLevelType w:val="hybridMultilevel"/>
    <w:lvl w:ilvl="0">
      <w:lvlJc w:val="left"/>
      <w:lvlText w:val="·"/>
      <w:numFmt w:val="bullet"/>
      <w:start w:val="1"/>
    </w:lvl>
  </w:abstractNum>
  <w:abstractNum w:abstractNumId="8">
    <w:nsid w:val="6CEAF087"/>
    <w:multiLevelType w:val="hybridMultilevel"/>
    <w:lvl w:ilvl="0">
      <w:lvlJc w:val="left"/>
      <w:lvlText w:val="(%1)"/>
      <w:numFmt w:val="lowerRoman"/>
      <w:start w:val="3"/>
    </w:lvl>
    <w:lvl w:ilvl="1">
      <w:lvlJc w:val="left"/>
      <w:lvlText w:val="·"/>
      <w:numFmt w:val="bullet"/>
      <w:start w:val="1"/>
    </w:lvl>
  </w:abstractNum>
  <w:abstractNum w:abstractNumId="9">
    <w:nsid w:val="22221A70"/>
    <w:multiLevelType w:val="hybridMultilevel"/>
    <w:lvl w:ilvl="0">
      <w:lvlJc w:val="left"/>
      <w:lvlText w:val="·"/>
      <w:numFmt w:val="bullet"/>
      <w:start w:val="1"/>
    </w:lvl>
  </w:abstractNum>
  <w:abstractNum w:abstractNumId="10">
    <w:nsid w:val="4516DDE9"/>
    <w:multiLevelType w:val="hybridMultilevel"/>
    <w:lvl w:ilvl="0">
      <w:lvlJc w:val="left"/>
      <w:lvlText w:val="·"/>
      <w:numFmt w:val="bullet"/>
      <w:start w:val="1"/>
    </w:lvl>
  </w:abstractNum>
  <w:abstractNum w:abstractNumId="11">
    <w:nsid w:val="3006C83E"/>
    <w:multiLevelType w:val="hybridMultilevel"/>
    <w:lvl w:ilvl="0">
      <w:lvlJc w:val="left"/>
      <w:lvlText w:val="·"/>
      <w:numFmt w:val="bullet"/>
      <w:start w:val="1"/>
    </w:lvl>
  </w:abstractNum>
  <w:abstractNum w:abstractNumId="12">
    <w:nsid w:val="614FD4A1"/>
    <w:multiLevelType w:val="hybridMultilevel"/>
    <w:lvl w:ilvl="0">
      <w:lvlJc w:val="left"/>
      <w:lvlText w:val="·"/>
      <w:numFmt w:val="bullet"/>
      <w:start w:val="1"/>
    </w:lvl>
  </w:abstractNum>
  <w:abstractNum w:abstractNumId="13">
    <w:nsid w:val="419AC241"/>
    <w:multiLevelType w:val="hybridMultilevel"/>
    <w:lvl w:ilvl="0">
      <w:lvlJc w:val="left"/>
      <w:lvlText w:val="·"/>
      <w:numFmt w:val="bullet"/>
      <w:start w:val="1"/>
    </w:lvl>
  </w:abstractNum>
  <w:abstractNum w:abstractNumId="14">
    <w:nsid w:val="5577F8E1"/>
    <w:multiLevelType w:val="hybridMultilevel"/>
    <w:lvl w:ilvl="0">
      <w:lvlJc w:val="left"/>
      <w:lvlText w:val="·"/>
      <w:numFmt w:val="bullet"/>
      <w:start w:val="1"/>
    </w:lvl>
  </w:abstractNum>
  <w:abstractNum w:abstractNumId="15">
    <w:nsid w:val="440BADFC"/>
    <w:multiLevelType w:val="hybridMultilevel"/>
    <w:lvl w:ilvl="0">
      <w:lvlJc w:val="left"/>
      <w:lvlText w:val="·"/>
      <w:numFmt w:val="bullet"/>
      <w:start w:val="1"/>
    </w:lvl>
  </w:abstractNum>
  <w:abstractNum w:abstractNumId="16">
    <w:nsid w:val="5072367"/>
    <w:multiLevelType w:val="hybridMultilevel"/>
    <w:lvl w:ilvl="0">
      <w:lvlJc w:val="left"/>
      <w:lvlText w:val="·"/>
      <w:numFmt w:val="bullet"/>
      <w:start w:val="1"/>
    </w:lvl>
  </w:abstractNum>
  <w:abstractNum w:abstractNumId="17">
    <w:nsid w:val="3804823E"/>
    <w:multiLevelType w:val="hybridMultilevel"/>
    <w:lvl w:ilvl="0">
      <w:lvlJc w:val="left"/>
      <w:lvlText w:val="·"/>
      <w:numFmt w:val="bullet"/>
      <w:start w:val="1"/>
    </w:lvl>
  </w:abstractNum>
  <w:abstractNum w:abstractNumId="18">
    <w:nsid w:val="77465F01"/>
    <w:multiLevelType w:val="hybridMultilevel"/>
    <w:lvl w:ilvl="0">
      <w:lvlJc w:val="left"/>
      <w:lvlText w:val="·"/>
      <w:numFmt w:val="bullet"/>
      <w:start w:val="1"/>
    </w:lvl>
  </w:abstractNum>
  <w:abstractNum w:abstractNumId="19">
    <w:nsid w:val="7724C67E"/>
    <w:multiLevelType w:val="hybridMultilevel"/>
    <w:lvl w:ilvl="0">
      <w:lvlJc w:val="left"/>
      <w:lvlText w:val="·"/>
      <w:numFmt w:val="bullet"/>
      <w:start w:val="1"/>
    </w:lvl>
  </w:abstractNum>
  <w:abstractNum w:abstractNumId="20">
    <w:nsid w:val="5C482A97"/>
    <w:multiLevelType w:val="hybridMultilevel"/>
    <w:lvl w:ilvl="0">
      <w:lvlJc w:val="left"/>
      <w:lvlText w:val="·"/>
      <w:numFmt w:val="bullet"/>
      <w:start w:val="1"/>
    </w:lvl>
  </w:abstractNum>
  <w:abstractNum w:abstractNumId="21">
    <w:nsid w:val="2463B9EA"/>
    <w:multiLevelType w:val="hybridMultilevel"/>
    <w:lvl w:ilvl="0">
      <w:lvlJc w:val="left"/>
      <w:lvlText w:val="·"/>
      <w:numFmt w:val="bullet"/>
      <w:start w:val="1"/>
    </w:lvl>
  </w:abstractNum>
  <w:abstractNum w:abstractNumId="22">
    <w:nsid w:val="5E884ADC"/>
    <w:multiLevelType w:val="hybridMultilevel"/>
    <w:lvl w:ilvl="0">
      <w:lvlJc w:val="left"/>
      <w:lvlText w:val="·"/>
      <w:numFmt w:val="bullet"/>
      <w:start w:val="1"/>
    </w:lvl>
  </w:abstractNum>
  <w:abstractNum w:abstractNumId="23">
    <w:nsid w:val="51EAD36B"/>
    <w:multiLevelType w:val="hybridMultilevel"/>
    <w:lvl w:ilvl="0">
      <w:lvlJc w:val="left"/>
      <w:lvlText w:val="·"/>
      <w:numFmt w:val="bullet"/>
      <w:start w:val="1"/>
    </w:lvl>
    <w:lvl w:ilvl="1">
      <w:lvlJc w:val="left"/>
      <w:lvlText w:val="%2."/>
      <w:numFmt w:val="lowerLetter"/>
      <w:start w:val="1"/>
    </w:lvl>
  </w:abstractNum>
  <w:abstractNum w:abstractNumId="24">
    <w:nsid w:val="2D517796"/>
    <w:multiLevelType w:val="hybridMultilevel"/>
    <w:lvl w:ilvl="0">
      <w:lvlJc w:val="left"/>
      <w:lvlText w:val="·"/>
      <w:numFmt w:val="bullet"/>
      <w:start w:val="1"/>
    </w:lvl>
    <w:lvl w:ilvl="1">
      <w:lvlJc w:val="left"/>
      <w:lvlText w:val="%2."/>
      <w:numFmt w:val="lowerLetter"/>
      <w:start w:val="1"/>
    </w:lvl>
  </w:abstractNum>
  <w:abstractNum w:abstractNumId="25">
    <w:nsid w:val="580BD78F"/>
    <w:multiLevelType w:val="hybridMultilevel"/>
    <w:lvl w:ilvl="0">
      <w:lvlJc w:val="left"/>
      <w:lvlText w:val="·"/>
      <w:numFmt w:val="bullet"/>
      <w:start w:val="1"/>
    </w:lvl>
    <w:lvl w:ilvl="1">
      <w:lvlJc w:val="left"/>
      <w:lvlText w:val="%2."/>
      <w:numFmt w:val="lowerLetter"/>
      <w:start w:val="1"/>
    </w:lvl>
  </w:abstractNum>
  <w:abstractNum w:abstractNumId="26">
    <w:nsid w:val="153EA438"/>
    <w:multiLevelType w:val="hybridMultilevel"/>
    <w:lvl w:ilvl="0">
      <w:lvlJc w:val="left"/>
      <w:lvlText w:val="·"/>
      <w:numFmt w:val="bullet"/>
      <w:start w:val="1"/>
    </w:lvl>
    <w:lvl w:ilvl="1">
      <w:lvlJc w:val="left"/>
      <w:lvlText w:val="%2."/>
      <w:numFmt w:val="lowerLetter"/>
      <w:start w:val="1"/>
    </w:lvl>
  </w:abstractNum>
  <w:abstractNum w:abstractNumId="27">
    <w:nsid w:val="3855585C"/>
    <w:multiLevelType w:val="hybridMultilevel"/>
    <w:lvl w:ilvl="0">
      <w:lvlJc w:val="left"/>
      <w:lvlText w:val="·"/>
      <w:numFmt w:val="bullet"/>
      <w:start w:val="1"/>
    </w:lvl>
  </w:abstractNum>
  <w:abstractNum w:abstractNumId="28">
    <w:nsid w:val="70A64E2A"/>
    <w:multiLevelType w:val="hybridMultilevel"/>
    <w:lvl w:ilvl="0">
      <w:lvlJc w:val="left"/>
      <w:lvlText w:val="·"/>
      <w:numFmt w:val="bullet"/>
      <w:start w:val="1"/>
    </w:lvl>
  </w:abstractNum>
  <w:abstractNum w:abstractNumId="29">
    <w:nsid w:val="6A2342EC"/>
    <w:multiLevelType w:val="hybridMultilevel"/>
    <w:lvl w:ilvl="0">
      <w:lvlJc w:val="left"/>
      <w:lvlText w:val="·"/>
      <w:numFmt w:val="bullet"/>
      <w:start w:val="1"/>
    </w:lvl>
  </w:abstractNum>
  <w:abstractNum w:abstractNumId="30">
    <w:nsid w:val="2A487CB0"/>
    <w:multiLevelType w:val="hybridMultilevel"/>
    <w:lvl w:ilvl="0">
      <w:lvlJc w:val="left"/>
      <w:lvlText w:val="·"/>
      <w:numFmt w:val="bullet"/>
      <w:start w:val="1"/>
    </w:lvl>
  </w:abstractNum>
  <w:abstractNum w:abstractNumId="31">
    <w:nsid w:val="1D4ED43B"/>
    <w:multiLevelType w:val="hybridMultilevel"/>
    <w:lvl w:ilvl="0">
      <w:lvlJc w:val="left"/>
      <w:lvlText w:val="·"/>
      <w:numFmt w:val="bullet"/>
      <w:start w:val="1"/>
    </w:lvl>
  </w:abstractNum>
  <w:abstractNum w:abstractNumId="32">
    <w:nsid w:val="725A06FB"/>
    <w:multiLevelType w:val="hybridMultilevel"/>
    <w:lvl w:ilvl="0">
      <w:lvlJc w:val="left"/>
      <w:lvlText w:val="·"/>
      <w:numFmt w:val="bullet"/>
      <w:start w:val="1"/>
    </w:lvl>
  </w:abstractNum>
  <w:abstractNum w:abstractNumId="33">
    <w:nsid w:val="2CD89A32"/>
    <w:multiLevelType w:val="hybridMultilevel"/>
    <w:lvl w:ilvl="0">
      <w:lvlJc w:val="left"/>
      <w:lvlText w:val="·"/>
      <w:numFmt w:val="bullet"/>
      <w:start w:val="1"/>
    </w:lvl>
  </w:abstractNum>
  <w:abstractNum w:abstractNumId="34">
    <w:nsid w:val="57E4CCAF"/>
    <w:multiLevelType w:val="hybridMultilevel"/>
    <w:lvl w:ilvl="0">
      <w:lvlJc w:val="left"/>
      <w:lvlText w:val="·"/>
      <w:numFmt w:val="bullet"/>
      <w:start w:val="1"/>
    </w:lvl>
  </w:abstractNum>
  <w:abstractNum w:abstractNumId="35">
    <w:nsid w:val="7A6D8D3C"/>
    <w:multiLevelType w:val="hybridMultilevel"/>
    <w:lvl w:ilvl="0">
      <w:lvlJc w:val="left"/>
      <w:lvlText w:val="·"/>
      <w:numFmt w:val="bullet"/>
      <w:start w:val="1"/>
    </w:lvl>
  </w:abstractNum>
  <w:abstractNum w:abstractNumId="36">
    <w:nsid w:val="4B588F54"/>
    <w:multiLevelType w:val="hybridMultilevel"/>
    <w:lvl w:ilvl="0">
      <w:lvlJc w:val="left"/>
      <w:lvlText w:val="·"/>
      <w:numFmt w:val="bullet"/>
      <w:start w:val="1"/>
    </w:lvl>
  </w:abstractNum>
  <w:abstractNum w:abstractNumId="37">
    <w:nsid w:val="542289EC"/>
    <w:multiLevelType w:val="hybridMultilevel"/>
    <w:lvl w:ilvl="0">
      <w:lvlJc w:val="left"/>
      <w:lvlText w:val="·"/>
      <w:numFmt w:val="bullet"/>
      <w:start w:val="1"/>
    </w:lvl>
  </w:abstractNum>
  <w:abstractNum w:abstractNumId="38">
    <w:nsid w:val="6DE91B18"/>
    <w:multiLevelType w:val="hybridMultilevel"/>
    <w:lvl w:ilvl="0">
      <w:lvlJc w:val="left"/>
      <w:lvlText w:val="·"/>
      <w:numFmt w:val="bullet"/>
      <w:start w:val="1"/>
    </w:lvl>
  </w:abstractNum>
  <w:abstractNum w:abstractNumId="39">
    <w:nsid w:val="38437FDB"/>
    <w:multiLevelType w:val="hybridMultilevel"/>
    <w:lvl w:ilvl="0">
      <w:lvlJc w:val="left"/>
      <w:lvlText w:val="·"/>
      <w:numFmt w:val="bullet"/>
      <w:start w:val="1"/>
    </w:lvl>
  </w:abstractNum>
  <w:abstractNum w:abstractNumId="40">
    <w:nsid w:val="7644A45C"/>
    <w:multiLevelType w:val="hybridMultilevel"/>
    <w:lvl w:ilvl="0">
      <w:lvlJc w:val="left"/>
      <w:lvlText w:val="·"/>
      <w:numFmt w:val="bullet"/>
      <w:start w:val="1"/>
    </w:lvl>
  </w:abstractNum>
  <w:abstractNum w:abstractNumId="41">
    <w:nsid w:val="32FFF902"/>
    <w:multiLevelType w:val="hybridMultilevel"/>
    <w:lvl w:ilvl="0">
      <w:lvlJc w:val="left"/>
      <w:lvlText w:val="·"/>
      <w:numFmt w:val="bullet"/>
      <w:start w:val="1"/>
    </w:lvl>
  </w:abstractNum>
  <w:abstractNum w:abstractNumId="42">
    <w:nsid w:val="684A481A"/>
    <w:multiLevelType w:val="hybridMultilevel"/>
    <w:lvl w:ilvl="0">
      <w:lvlJc w:val="left"/>
      <w:lvlText w:val="·"/>
      <w:numFmt w:val="bullet"/>
      <w:start w:val="1"/>
    </w:lvl>
  </w:abstractNum>
  <w:abstractNum w:abstractNumId="43">
    <w:nsid w:val="579478FE"/>
    <w:multiLevelType w:val="hybridMultilevel"/>
    <w:lvl w:ilvl="0">
      <w:lvlJc w:val="left"/>
      <w:lvlText w:val="·"/>
      <w:numFmt w:val="bullet"/>
      <w:start w:val="1"/>
    </w:lvl>
  </w:abstractNum>
  <w:abstractNum w:abstractNumId="44">
    <w:nsid w:val="749ABB43"/>
    <w:multiLevelType w:val="hybridMultilevel"/>
    <w:lvl w:ilvl="0">
      <w:lvlJc w:val="left"/>
      <w:lvlText w:val="(%1)"/>
      <w:numFmt w:val="decimal"/>
      <w:start w:val="1"/>
    </w:lvl>
    <w:lvl w:ilvl="1">
      <w:lvlJc w:val="left"/>
      <w:lvlText w:val="(%2)"/>
      <w:numFmt w:val="lowerRoman"/>
      <w:start w:val="1"/>
    </w:lvl>
  </w:abstractNum>
  <w:abstractNum w:abstractNumId="45">
    <w:nsid w:val="3DC240FB"/>
    <w:multiLevelType w:val="hybridMultilevel"/>
    <w:lvl w:ilvl="0">
      <w:lvlJc w:val="left"/>
      <w:lvlText w:val="(%1)"/>
      <w:numFmt w:val="decimal"/>
      <w:start w:val="5"/>
    </w:lvl>
    <w:lvl w:ilvl="1">
      <w:lvlJc w:val="left"/>
      <w:lvlText w:val="(%2)"/>
      <w:numFmt w:val="lowerRoman"/>
      <w:start w:val="1"/>
    </w:lvl>
  </w:abstractNum>
  <w:abstractNum w:abstractNumId="46">
    <w:nsid w:val="1BA026FA"/>
    <w:multiLevelType w:val="hybridMultilevel"/>
    <w:lvl w:ilvl="0">
      <w:lvlJc w:val="left"/>
      <w:lvlText w:val="%1)"/>
      <w:numFmt w:val="lowerLetter"/>
      <w:start w:val="1"/>
    </w:lvl>
  </w:abstractNum>
  <w:abstractNum w:abstractNumId="47">
    <w:nsid w:val="79A1DEAA"/>
    <w:multiLevelType w:val="hybridMultilevel"/>
    <w:lvl w:ilvl="0">
      <w:lvlJc w:val="left"/>
      <w:lvlText w:val="%1)"/>
      <w:numFmt w:val="lowerLetter"/>
      <w:start w:val="2"/>
    </w:lvl>
  </w:abstractNum>
  <w:abstractNum w:abstractNumId="48">
    <w:nsid w:val="75C6C33A"/>
    <w:multiLevelType w:val="hybridMultilevel"/>
    <w:lvl w:ilvl="0">
      <w:lvlJc w:val="left"/>
      <w:lvlText w:val="%1."/>
      <w:numFmt w:val="decimal"/>
      <w:start w:val="1"/>
    </w:lvl>
  </w:abstractNum>
  <w:abstractNum w:abstractNumId="49">
    <w:nsid w:val="12E685FB"/>
    <w:multiLevelType w:val="hybridMultilevel"/>
    <w:lvl w:ilvl="0">
      <w:lvlJc w:val="left"/>
      <w:lvlText w:val="·"/>
      <w:numFmt w:val="bullet"/>
      <w:start w:val="1"/>
    </w:lvl>
  </w:abstractNum>
  <w:abstractNum w:abstractNumId="50">
    <w:nsid w:val="70C6A529"/>
    <w:multiLevelType w:val="hybridMultilevel"/>
    <w:lvl w:ilvl="0">
      <w:lvlJc w:val="left"/>
      <w:lvlText w:val="·"/>
      <w:numFmt w:val="bullet"/>
      <w:start w:val="1"/>
    </w:lvl>
  </w:abstractNum>
  <w:abstractNum w:abstractNumId="51">
    <w:nsid w:val="520EEDD1"/>
    <w:multiLevelType w:val="hybridMultilevel"/>
    <w:lvl w:ilvl="0">
      <w:lvlJc w:val="left"/>
      <w:lvlText w:val="%1."/>
      <w:numFmt w:val="decimal"/>
      <w:start w:val="1"/>
    </w:lvl>
  </w:abstractNum>
  <w:abstractNum w:abstractNumId="52">
    <w:nsid w:val="374A3FE6"/>
    <w:multiLevelType w:val="hybridMultilevel"/>
    <w:lvl w:ilvl="0">
      <w:lvlJc w:val="left"/>
      <w:lvlText w:val="%1."/>
      <w:numFmt w:val="decimal"/>
      <w:start w:val="2"/>
    </w:lvl>
  </w:abstractNum>
  <w:abstractNum w:abstractNumId="53">
    <w:nsid w:val="4F4EF005"/>
    <w:multiLevelType w:val="hybridMultilevel"/>
    <w:lvl w:ilvl="0">
      <w:lvlJc w:val="left"/>
      <w:lvlText w:val="%1."/>
      <w:numFmt w:val="decimal"/>
      <w:start w:val="3"/>
    </w:lvl>
  </w:abstractNum>
  <w:abstractNum w:abstractNumId="54">
    <w:nsid w:val="23F9C13C"/>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 Id="rId49" Type="http://schemas.openxmlformats.org/officeDocument/2006/relationships/image" Target="media/image37.png"/><Relationship Id="rId50" Type="http://schemas.openxmlformats.org/officeDocument/2006/relationships/image" Target="media/image38.png"/><Relationship Id="rId51" Type="http://schemas.openxmlformats.org/officeDocument/2006/relationships/image" Target="media/image39.png"/><Relationship Id="rId52" Type="http://schemas.openxmlformats.org/officeDocument/2006/relationships/image" Target="media/image40.png"/><Relationship Id="rId53" Type="http://schemas.openxmlformats.org/officeDocument/2006/relationships/image" Target="media/image41.png"/><Relationship Id="rId54" Type="http://schemas.openxmlformats.org/officeDocument/2006/relationships/image" Target="media/image42.png"/><Relationship Id="rId55" Type="http://schemas.openxmlformats.org/officeDocument/2006/relationships/image" Target="media/image43.png"/><Relationship Id="rId56" Type="http://schemas.openxmlformats.org/officeDocument/2006/relationships/image" Target="media/image44.png"/><Relationship Id="rId57" Type="http://schemas.openxmlformats.org/officeDocument/2006/relationships/image" Target="media/image45.png"/><Relationship Id="rId58" Type="http://schemas.openxmlformats.org/officeDocument/2006/relationships/image" Target="media/image46.png"/><Relationship Id="rId59" Type="http://schemas.openxmlformats.org/officeDocument/2006/relationships/image" Target="media/image47.png"/><Relationship Id="rId60" Type="http://schemas.openxmlformats.org/officeDocument/2006/relationships/image" Target="media/image48.png"/><Relationship Id="rId61" Type="http://schemas.openxmlformats.org/officeDocument/2006/relationships/image" Target="media/image49.png"/><Relationship Id="rId62" Type="http://schemas.openxmlformats.org/officeDocument/2006/relationships/image" Target="media/image50.png"/><Relationship Id="rId63" Type="http://schemas.openxmlformats.org/officeDocument/2006/relationships/image" Target="media/image51.png"/><Relationship Id="rId64" Type="http://schemas.openxmlformats.org/officeDocument/2006/relationships/image" Target="media/image52.png"/><Relationship Id="rId65" Type="http://schemas.openxmlformats.org/officeDocument/2006/relationships/image" Target="media/image53.png"/><Relationship Id="rId66" Type="http://schemas.openxmlformats.org/officeDocument/2006/relationships/image" Target="media/image54.png"/><Relationship Id="rId67" Type="http://schemas.openxmlformats.org/officeDocument/2006/relationships/image" Target="media/image55.png"/><Relationship Id="rId68" Type="http://schemas.openxmlformats.org/officeDocument/2006/relationships/image" Target="media/image56.png"/><Relationship Id="rId69" Type="http://schemas.openxmlformats.org/officeDocument/2006/relationships/image" Target="media/image57.png"/><Relationship Id="rId70" Type="http://schemas.openxmlformats.org/officeDocument/2006/relationships/image" Target="media/image58.png"/><Relationship Id="rId71" Type="http://schemas.openxmlformats.org/officeDocument/2006/relationships/image" Target="media/image59.png"/><Relationship Id="rId72" Type="http://schemas.openxmlformats.org/officeDocument/2006/relationships/image" Target="media/image60.png"/><Relationship Id="rId73" Type="http://schemas.openxmlformats.org/officeDocument/2006/relationships/image" Target="media/image61.png"/><Relationship Id="rId74" Type="http://schemas.openxmlformats.org/officeDocument/2006/relationships/image" Target="media/image62.png"/><Relationship Id="rId75" Type="http://schemas.openxmlformats.org/officeDocument/2006/relationships/image" Target="media/image63.png"/><Relationship Id="rId76" Type="http://schemas.openxmlformats.org/officeDocument/2006/relationships/image" Target="media/image64.png"/><Relationship Id="rId77" Type="http://schemas.openxmlformats.org/officeDocument/2006/relationships/image" Target="media/image65.png"/><Relationship Id="rId78" Type="http://schemas.openxmlformats.org/officeDocument/2006/relationships/image" Target="media/image66.png"/><Relationship Id="rId85" Type="http://schemas.openxmlformats.org/officeDocument/2006/relationships/image" Target="media/image67.png"/><Relationship Id="rId86" Type="http://schemas.openxmlformats.org/officeDocument/2006/relationships/image" Target="media/image68.png"/><Relationship Id="rId87" Type="http://schemas.openxmlformats.org/officeDocument/2006/relationships/image" Target="media/image69.png"/><Relationship Id="rId88" Type="http://schemas.openxmlformats.org/officeDocument/2006/relationships/image" Target="media/image70.png"/><Relationship Id="rId89" Type="http://schemas.openxmlformats.org/officeDocument/2006/relationships/image" Target="media/image71.png"/><Relationship Id="rId90" Type="http://schemas.openxmlformats.org/officeDocument/2006/relationships/image" Target="media/image72.jpeg"/><Relationship Id="rId91" Type="http://schemas.openxmlformats.org/officeDocument/2006/relationships/image" Target="media/image73.png"/><Relationship Id="rId92" Type="http://schemas.openxmlformats.org/officeDocument/2006/relationships/image" Target="media/image74.png"/><Relationship Id="rId93" Type="http://schemas.openxmlformats.org/officeDocument/2006/relationships/image" Target="media/image75.png"/><Relationship Id="rId94" Type="http://schemas.openxmlformats.org/officeDocument/2006/relationships/image" Target="media/image76.png"/><Relationship Id="rId95" Type="http://schemas.openxmlformats.org/officeDocument/2006/relationships/image" Target="media/image77.png"/><Relationship Id="rId96" Type="http://schemas.openxmlformats.org/officeDocument/2006/relationships/image" Target="media/image78.png"/><Relationship Id="rId97" Type="http://schemas.openxmlformats.org/officeDocument/2006/relationships/image" Target="media/image79.png"/><Relationship Id="rId98" Type="http://schemas.openxmlformats.org/officeDocument/2006/relationships/image" Target="media/image80.png"/><Relationship Id="rId99" Type="http://schemas.openxmlformats.org/officeDocument/2006/relationships/image" Target="media/image81.png"/><Relationship Id="rId100" Type="http://schemas.openxmlformats.org/officeDocument/2006/relationships/image" Target="media/image82.png"/><Relationship Id="rId101" Type="http://schemas.openxmlformats.org/officeDocument/2006/relationships/image" Target="media/image83.png"/><Relationship Id="rId102" Type="http://schemas.openxmlformats.org/officeDocument/2006/relationships/image" Target="media/image84.png"/><Relationship Id="rId103" Type="http://schemas.openxmlformats.org/officeDocument/2006/relationships/image" Target="media/image85.png"/><Relationship Id="rId104" Type="http://schemas.openxmlformats.org/officeDocument/2006/relationships/image" Target="media/image86.png"/><Relationship Id="rId105" Type="http://schemas.openxmlformats.org/officeDocument/2006/relationships/image" Target="media/image87.png"/><Relationship Id="rId106" Type="http://schemas.openxmlformats.org/officeDocument/2006/relationships/image" Target="media/image88.png"/><Relationship Id="rId107" Type="http://schemas.openxmlformats.org/officeDocument/2006/relationships/image" Target="media/image89.png"/><Relationship Id="rId108" Type="http://schemas.openxmlformats.org/officeDocument/2006/relationships/image" Target="media/image90.png"/><Relationship Id="rId109" Type="http://schemas.openxmlformats.org/officeDocument/2006/relationships/image" Target="media/image91.png"/><Relationship Id="rId110" Type="http://schemas.openxmlformats.org/officeDocument/2006/relationships/image" Target="media/image92.png"/><Relationship Id="rId111" Type="http://schemas.openxmlformats.org/officeDocument/2006/relationships/image" Target="media/image93.png"/><Relationship Id="rId22" Type="http://schemas.openxmlformats.org/officeDocument/2006/relationships/hyperlink" Target="https://www.sec.gov/ix?doc=/Archives/edgar/data/1828588/000110465926027651/hnvr-20251231x10k.htm" TargetMode="External"/><Relationship Id="rId28" Type="http://schemas.openxmlformats.org/officeDocument/2006/relationships/hyperlink" Target="https://www.sec.gov/ix?doc=/Archives/edgar/data/1828588/000110465926057877/hnvr-20260331x10q.htm" TargetMode="External"/><Relationship Id="rId29" Type="http://schemas.openxmlformats.org/officeDocument/2006/relationships/hyperlink" Target="https://www.sec.gov/ix?doc=/Archives/edgar/data/1828588/000110465926017591/hnvr-20260212x8k.htm" TargetMode="External"/><Relationship Id="rId30" Type="http://schemas.openxmlformats.org/officeDocument/2006/relationships/hyperlink" Target="https://www.sec.gov/ix?doc=/Archives/edgar/data/1828588/000110465926027122/hnvr-20260312x8k.htm" TargetMode="External"/><Relationship Id="rId31" Type="http://schemas.openxmlformats.org/officeDocument/2006/relationships/hyperlink" Target="https://www.sec.gov/ix?doc=/Archives/edgar/data/1828588/000110465926068886/hnvr-20260528x8k.htm" TargetMode="External"/><Relationship Id="rId79" Type="http://schemas.openxmlformats.org/officeDocument/2006/relationships/hyperlink" Target="https://www.sec.gov/Archives/edgar/data/1828588/000155837025008936/hnvr-20250625xex3d1.htm" TargetMode="External"/><Relationship Id="rId80" Type="http://schemas.openxmlformats.org/officeDocument/2006/relationships/hyperlink" Target="https://www.sec.gov/Archives/edgar/data/1828588/000155837025008936/hnvr-20250625xex3d2.htm" TargetMode="External"/><Relationship Id="rId81" Type="http://schemas.openxmlformats.org/officeDocument/2006/relationships/hyperlink" Target="https://www.sec.gov/Archives/edgar/data/1828588/000110465926027122/hnvr-20260312xex4d1.htm" TargetMode="External"/><Relationship Id="rId82" Type="http://schemas.openxmlformats.org/officeDocument/2006/relationships/hyperlink" Target="https://www.sec.gov/Archives/edgar/data/1828588/000110465926027122/hnvr-20260312xex10d1.htm" TargetMode="External"/><Relationship Id="rId83" Type="http://schemas.openxmlformats.org/officeDocument/2006/relationships/hyperlink" Target="https://www.sec.gov/Archives/edgar/data/1828588/000110465926027122/hnvr-20260312xex10d2.htm" TargetMode="External"/><Relationship Id="rId84" Type="http://schemas.openxmlformats.org/officeDocument/2006/relationships/hyperlink" Target="https://www.sec.gov/Archives/edgar/data/1828588/000110465921005873/tm2037794d1_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2026-06-04T15:04:39Z</dcterms:created>
  <dcterms:modified xsi:type="dcterms:W3CDTF">2026-06-04T15:04:39Z</dcterms:modified>
</cp:coreProperties>
</file>